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8A01" w14:textId="77777777" w:rsidR="00017B7B" w:rsidRPr="007E4663" w:rsidRDefault="00017B7B">
      <w:pPr>
        <w:widowControl/>
        <w:jc w:val="both"/>
      </w:pPr>
    </w:p>
    <w:p w14:paraId="58D1CBB3" w14:textId="45812B36" w:rsidR="004239F3" w:rsidRDefault="004239F3" w:rsidP="00CF675F">
      <w:pPr>
        <w:widowControl/>
        <w:jc w:val="center"/>
        <w:rPr>
          <w:b/>
          <w:bCs/>
          <w:u w:val="single"/>
        </w:rPr>
      </w:pPr>
      <w:r w:rsidRPr="007E4663">
        <w:rPr>
          <w:b/>
          <w:bCs/>
          <w:u w:val="single"/>
        </w:rPr>
        <w:t xml:space="preserve">Will </w:t>
      </w:r>
      <w:r w:rsidR="00CF675F" w:rsidRPr="007E4663">
        <w:rPr>
          <w:b/>
          <w:bCs/>
          <w:u w:val="single"/>
        </w:rPr>
        <w:t xml:space="preserve">the Supreme Court in </w:t>
      </w:r>
      <w:r w:rsidRPr="007E4663">
        <w:rPr>
          <w:b/>
          <w:bCs/>
          <w:i/>
          <w:iCs/>
          <w:u w:val="single"/>
        </w:rPr>
        <w:t xml:space="preserve">Spears v. Hall </w:t>
      </w:r>
      <w:r w:rsidRPr="007E4663">
        <w:rPr>
          <w:b/>
          <w:bCs/>
          <w:u w:val="single"/>
        </w:rPr>
        <w:t xml:space="preserve">Open The Floodgates For Fee Sharing, </w:t>
      </w:r>
      <w:r w:rsidR="002971BC" w:rsidRPr="007E4663">
        <w:rPr>
          <w:b/>
          <w:bCs/>
          <w:u w:val="single"/>
        </w:rPr>
        <w:t xml:space="preserve">Non-Lawyer </w:t>
      </w:r>
      <w:r w:rsidRPr="007E4663">
        <w:rPr>
          <w:b/>
          <w:bCs/>
          <w:u w:val="single"/>
        </w:rPr>
        <w:t>Bonuses, Etc. in 2026?</w:t>
      </w:r>
    </w:p>
    <w:p w14:paraId="503CB50A" w14:textId="77777777" w:rsidR="006B2EBA" w:rsidRPr="007E4663" w:rsidRDefault="006B2EBA" w:rsidP="00CF675F">
      <w:pPr>
        <w:widowControl/>
        <w:jc w:val="center"/>
        <w:rPr>
          <w:b/>
          <w:bCs/>
          <w:u w:val="single"/>
        </w:rPr>
      </w:pPr>
    </w:p>
    <w:p w14:paraId="74AAC7CB" w14:textId="415A307B" w:rsidR="004239F3" w:rsidRDefault="006B2EBA" w:rsidP="006B2EBA">
      <w:pPr>
        <w:widowControl/>
        <w:jc w:val="center"/>
      </w:pPr>
      <w:r>
        <w:t>Materials prepared and submitted by:</w:t>
      </w:r>
    </w:p>
    <w:p w14:paraId="6E4C14D0" w14:textId="77777777" w:rsidR="006B2EBA" w:rsidRPr="007E4663" w:rsidRDefault="006B2EBA" w:rsidP="006B2EBA">
      <w:pPr>
        <w:widowControl/>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B2EBA" w14:paraId="7F0D3FD4" w14:textId="77777777" w:rsidTr="006B2EBA">
        <w:tc>
          <w:tcPr>
            <w:tcW w:w="4675" w:type="dxa"/>
          </w:tcPr>
          <w:p w14:paraId="0E0CBBEE"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Dominick F. Impastato (29056)</w:t>
            </w:r>
          </w:p>
          <w:p w14:paraId="19924BE4" w14:textId="77777777" w:rsidR="006B2EBA" w:rsidRPr="006B2EBA" w:rsidRDefault="006B2EBA" w:rsidP="006B2EBA">
            <w:pPr>
              <w:pStyle w:val="NoSpacing"/>
              <w:ind w:firstLine="0"/>
              <w:rPr>
                <w:rFonts w:ascii="Times New Roman" w:hAnsi="Times New Roman" w:cs="Times New Roman"/>
                <w:smallCaps/>
                <w:szCs w:val="24"/>
              </w:rPr>
            </w:pPr>
            <w:proofErr w:type="spellStart"/>
            <w:r w:rsidRPr="006B2EBA">
              <w:rPr>
                <w:rFonts w:ascii="Times New Roman" w:hAnsi="Times New Roman" w:cs="Times New Roman"/>
                <w:smallCaps/>
                <w:szCs w:val="24"/>
              </w:rPr>
              <w:t>Frischertz</w:t>
            </w:r>
            <w:proofErr w:type="spellEnd"/>
            <w:r w:rsidRPr="006B2EBA">
              <w:rPr>
                <w:rFonts w:ascii="Times New Roman" w:hAnsi="Times New Roman" w:cs="Times New Roman"/>
                <w:smallCaps/>
                <w:szCs w:val="24"/>
              </w:rPr>
              <w:t xml:space="preserve"> &amp; Impastato, LLC</w:t>
            </w:r>
          </w:p>
          <w:p w14:paraId="1C7626AC"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1140 St. Charles Ave.</w:t>
            </w:r>
          </w:p>
          <w:p w14:paraId="7BB65AD7"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New Orleans, LA 70130</w:t>
            </w:r>
          </w:p>
          <w:p w14:paraId="1DC7D974"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(504) 523-1500</w:t>
            </w:r>
          </w:p>
          <w:p w14:paraId="16EDE79F" w14:textId="77777777" w:rsidR="006B2EBA" w:rsidRPr="006B2EBA" w:rsidRDefault="006B2EBA" w:rsidP="006B2EBA">
            <w:pPr>
              <w:pStyle w:val="NoSpacing"/>
              <w:ind w:firstLine="0"/>
              <w:rPr>
                <w:rFonts w:ascii="Times New Roman" w:hAnsi="Times New Roman" w:cs="Times New Roman"/>
                <w:szCs w:val="24"/>
              </w:rPr>
            </w:pPr>
            <w:hyperlink r:id="rId8" w:history="1">
              <w:r w:rsidRPr="006B2EBA">
                <w:rPr>
                  <w:rStyle w:val="Hyperlink"/>
                  <w:rFonts w:ascii="Times New Roman" w:hAnsi="Times New Roman" w:cs="Times New Roman"/>
                  <w:szCs w:val="24"/>
                </w:rPr>
                <w:t>dominick@fi-lawfirm.com</w:t>
              </w:r>
            </w:hyperlink>
          </w:p>
          <w:p w14:paraId="4435E809" w14:textId="77777777" w:rsidR="006B2EBA" w:rsidRDefault="006B2EBA">
            <w:pPr>
              <w:widowControl/>
              <w:jc w:val="both"/>
            </w:pPr>
          </w:p>
        </w:tc>
        <w:tc>
          <w:tcPr>
            <w:tcW w:w="4675" w:type="dxa"/>
          </w:tcPr>
          <w:p w14:paraId="2FCCEDEB"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Scott L. Sternberg (33390)</w:t>
            </w:r>
          </w:p>
          <w:p w14:paraId="63D01202" w14:textId="77777777" w:rsidR="006B2EBA" w:rsidRPr="006B2EBA" w:rsidRDefault="006B2EBA" w:rsidP="006B2EBA">
            <w:pPr>
              <w:pStyle w:val="NoSpacing"/>
              <w:ind w:firstLine="0"/>
              <w:rPr>
                <w:rFonts w:ascii="Times New Roman" w:hAnsi="Times New Roman" w:cs="Times New Roman"/>
                <w:smallCaps/>
                <w:szCs w:val="24"/>
              </w:rPr>
            </w:pPr>
            <w:r w:rsidRPr="006B2EBA">
              <w:rPr>
                <w:rFonts w:ascii="Times New Roman" w:hAnsi="Times New Roman" w:cs="Times New Roman"/>
                <w:smallCaps/>
                <w:szCs w:val="24"/>
              </w:rPr>
              <w:t xml:space="preserve">Sternberg, Naccari &amp; White, LLC </w:t>
            </w:r>
          </w:p>
          <w:p w14:paraId="404FB510"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 xml:space="preserve">935 Gravier Street, Suite 1800 </w:t>
            </w:r>
          </w:p>
          <w:p w14:paraId="4CE1F496"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New Orleans, LA 70112</w:t>
            </w:r>
          </w:p>
          <w:p w14:paraId="13710D2A" w14:textId="77777777" w:rsidR="006B2EBA" w:rsidRPr="006B2EBA" w:rsidRDefault="006B2EBA" w:rsidP="006B2EBA">
            <w:pPr>
              <w:pStyle w:val="NoSpacing"/>
              <w:ind w:firstLine="0"/>
              <w:rPr>
                <w:rFonts w:ascii="Times New Roman" w:hAnsi="Times New Roman" w:cs="Times New Roman"/>
                <w:szCs w:val="24"/>
              </w:rPr>
            </w:pPr>
            <w:r w:rsidRPr="006B2EBA">
              <w:rPr>
                <w:rFonts w:ascii="Times New Roman" w:hAnsi="Times New Roman" w:cs="Times New Roman"/>
                <w:szCs w:val="24"/>
              </w:rPr>
              <w:t xml:space="preserve">(504) 324-2141 </w:t>
            </w:r>
          </w:p>
          <w:p w14:paraId="7312C298" w14:textId="77777777" w:rsidR="006B2EBA" w:rsidRPr="006B2EBA" w:rsidRDefault="006B2EBA" w:rsidP="006B2EBA">
            <w:pPr>
              <w:pStyle w:val="NoSpacing"/>
              <w:ind w:firstLine="0"/>
              <w:rPr>
                <w:rFonts w:ascii="Times New Roman" w:hAnsi="Times New Roman" w:cs="Times New Roman"/>
                <w:szCs w:val="24"/>
              </w:rPr>
            </w:pPr>
            <w:hyperlink r:id="rId9" w:history="1">
              <w:r w:rsidRPr="006B2EBA">
                <w:rPr>
                  <w:rStyle w:val="Hyperlink"/>
                  <w:rFonts w:ascii="Times New Roman" w:hAnsi="Times New Roman" w:cs="Times New Roman"/>
                  <w:szCs w:val="24"/>
                </w:rPr>
                <w:t>scott@snw.law</w:t>
              </w:r>
            </w:hyperlink>
          </w:p>
          <w:p w14:paraId="6313861F" w14:textId="77777777" w:rsidR="006B2EBA" w:rsidRDefault="006B2EBA">
            <w:pPr>
              <w:widowControl/>
              <w:jc w:val="both"/>
            </w:pPr>
          </w:p>
        </w:tc>
      </w:tr>
    </w:tbl>
    <w:p w14:paraId="14DD0E63" w14:textId="77777777" w:rsidR="004239F3" w:rsidRDefault="004239F3">
      <w:pPr>
        <w:widowControl/>
        <w:jc w:val="both"/>
      </w:pPr>
    </w:p>
    <w:p w14:paraId="54A7CB33" w14:textId="77777777" w:rsidR="006B2EBA" w:rsidRPr="007E4663" w:rsidRDefault="006B2EBA">
      <w:pPr>
        <w:widowControl/>
        <w:jc w:val="both"/>
      </w:pPr>
    </w:p>
    <w:p w14:paraId="2BA25E05" w14:textId="4CA10647" w:rsidR="004239F3" w:rsidRPr="007E4663" w:rsidRDefault="004239F3" w:rsidP="00CF675F">
      <w:pPr>
        <w:widowControl/>
        <w:spacing w:line="480" w:lineRule="auto"/>
        <w:jc w:val="both"/>
      </w:pPr>
      <w:r w:rsidRPr="007E4663">
        <w:tab/>
        <w:t>The Louisiana Supreme Court currently has under its consideration a case that can change the landscape in which lawyers are allowed to share fees among one another, and perhaps even with non-lawyers.  The generally accepted axiom</w:t>
      </w:r>
      <w:r w:rsidR="002971BC" w:rsidRPr="007E4663">
        <w:t>, as proscribed by the Rules of Professional Conduct,</w:t>
      </w:r>
      <w:r w:rsidRPr="007E4663">
        <w:t xml:space="preserve"> was that lawyers and non-lawyers cannot share legal fees with one another.  Lawyer</w:t>
      </w:r>
      <w:r w:rsidR="002971BC" w:rsidRPr="007E4663">
        <w:t>s</w:t>
      </w:r>
      <w:r w:rsidRPr="007E4663">
        <w:t xml:space="preserve"> in different firms cannot share fees without the provisions of Rule 1.5(e) of the Rules of Professional Conduct being satisfied.  That rule arose due to the former practice of “brokering” case</w:t>
      </w:r>
      <w:r w:rsidR="002971BC" w:rsidRPr="007E4663">
        <w:t>s</w:t>
      </w:r>
      <w:r w:rsidRPr="007E4663">
        <w:t xml:space="preserve"> or “referral fees” being paid to lawyers, tow truck drivers, taxi drivers, and even staff of law firms for the referral of cases to a lawyer.</w:t>
      </w:r>
    </w:p>
    <w:p w14:paraId="6AFF60AF" w14:textId="12E49BFB" w:rsidR="004239F3" w:rsidRPr="007E4663" w:rsidRDefault="004239F3" w:rsidP="00CF675F">
      <w:pPr>
        <w:widowControl/>
        <w:spacing w:line="480" w:lineRule="auto"/>
        <w:jc w:val="both"/>
      </w:pPr>
      <w:r w:rsidRPr="007E4663">
        <w:tab/>
        <w:t xml:space="preserve">The Louisiana Supreme Court originally enacted rules providing certain </w:t>
      </w:r>
      <w:r w:rsidR="00CF675F" w:rsidRPr="007E4663">
        <w:t>criteria</w:t>
      </w:r>
      <w:r w:rsidRPr="007E4663">
        <w:t xml:space="preserve"> to govern the sharing of fees, or to govern these formerly accepted “referral fees.”  At one point, the rules </w:t>
      </w:r>
      <w:r w:rsidR="00DA18E6" w:rsidRPr="007E4663">
        <w:t>read</w:t>
      </w:r>
      <w:r w:rsidRPr="007E4663">
        <w:t xml:space="preserve"> as follows:</w:t>
      </w:r>
    </w:p>
    <w:p w14:paraId="715FBC9F" w14:textId="285AB2ED" w:rsidR="00DA18E6" w:rsidRPr="007E4663" w:rsidRDefault="00DA18E6" w:rsidP="00DA18E6">
      <w:pPr>
        <w:widowControl/>
        <w:ind w:left="720" w:right="720"/>
        <w:jc w:val="both"/>
      </w:pPr>
      <w:r w:rsidRPr="007E4663">
        <w:t>A division of fee between lawyers who are not in the same firm may be made only if:</w:t>
      </w:r>
    </w:p>
    <w:p w14:paraId="6C7FFD53" w14:textId="77777777" w:rsidR="00DA18E6" w:rsidRPr="007E4663" w:rsidRDefault="00DA18E6" w:rsidP="00DA18E6">
      <w:pPr>
        <w:widowControl/>
        <w:ind w:left="720" w:right="720"/>
        <w:jc w:val="both"/>
      </w:pPr>
    </w:p>
    <w:p w14:paraId="00D40B4A" w14:textId="20E9E022" w:rsidR="00DA18E6" w:rsidRPr="007E4663" w:rsidRDefault="00DA18E6" w:rsidP="00DA18E6">
      <w:pPr>
        <w:pStyle w:val="ListParagraph"/>
        <w:widowControl/>
        <w:numPr>
          <w:ilvl w:val="0"/>
          <w:numId w:val="18"/>
        </w:numPr>
        <w:ind w:right="720"/>
        <w:jc w:val="both"/>
      </w:pPr>
      <w:r w:rsidRPr="007E4663">
        <w:t>The division is in proportion to the services performed by each lawyer or, by written agreement with the client, each lawyer assumes joint responsibility for the representation;</w:t>
      </w:r>
    </w:p>
    <w:p w14:paraId="61C1BC2B" w14:textId="40639E87" w:rsidR="00DA18E6" w:rsidRPr="007E4663" w:rsidRDefault="00DA18E6" w:rsidP="00DA18E6">
      <w:pPr>
        <w:pStyle w:val="ListParagraph"/>
        <w:widowControl/>
        <w:numPr>
          <w:ilvl w:val="0"/>
          <w:numId w:val="18"/>
        </w:numPr>
        <w:ind w:right="720"/>
        <w:jc w:val="both"/>
      </w:pPr>
      <w:r w:rsidRPr="007E4663">
        <w:t>The client is advised of and does not object to the participation of all the lawyers involved; and</w:t>
      </w:r>
    </w:p>
    <w:p w14:paraId="605CB6DB" w14:textId="1EBE3E30" w:rsidR="00DA18E6" w:rsidRPr="007E4663" w:rsidRDefault="00DA18E6" w:rsidP="00DA18E6">
      <w:pPr>
        <w:pStyle w:val="ListParagraph"/>
        <w:widowControl/>
        <w:numPr>
          <w:ilvl w:val="0"/>
          <w:numId w:val="18"/>
        </w:numPr>
        <w:ind w:right="720"/>
        <w:jc w:val="both"/>
      </w:pPr>
      <w:r w:rsidRPr="007E4663">
        <w:t>The total fee is reasonable.</w:t>
      </w:r>
    </w:p>
    <w:p w14:paraId="6815933B" w14:textId="77777777" w:rsidR="00DA18E6" w:rsidRPr="007E4663" w:rsidRDefault="00DA18E6" w:rsidP="00DA18E6">
      <w:pPr>
        <w:pStyle w:val="ListParagraph"/>
        <w:widowControl/>
        <w:ind w:left="1080" w:right="720"/>
        <w:jc w:val="both"/>
      </w:pPr>
    </w:p>
    <w:p w14:paraId="5FDFD0D0" w14:textId="49CFD88E" w:rsidR="00DA18E6" w:rsidRPr="007E4663" w:rsidRDefault="00DA18E6" w:rsidP="00DA18E6">
      <w:pPr>
        <w:widowControl/>
        <w:spacing w:line="480" w:lineRule="auto"/>
        <w:jc w:val="both"/>
      </w:pPr>
      <w:r w:rsidRPr="007E4663">
        <w:t xml:space="preserve">Rule 1.5. Fees, </w:t>
      </w:r>
      <w:r w:rsidRPr="007E4663">
        <w:rPr>
          <w:i/>
          <w:iCs/>
        </w:rPr>
        <w:t>State Bar Articles of Incorporation</w:t>
      </w:r>
      <w:r w:rsidRPr="007E4663">
        <w:t xml:space="preserve">, Art. 16, </w:t>
      </w:r>
      <w:r w:rsidRPr="007E4663">
        <w:rPr>
          <w:smallCaps/>
        </w:rPr>
        <w:t>Rules of Prof. Conduct, Rule 1.5</w:t>
      </w:r>
      <w:r w:rsidRPr="007E4663">
        <w:t>, LSA-R.S. foll. 37:221.</w:t>
      </w:r>
    </w:p>
    <w:p w14:paraId="38676378" w14:textId="521D8C44" w:rsidR="00DA18E6" w:rsidRPr="007E4663" w:rsidRDefault="00DA18E6" w:rsidP="00CF675F">
      <w:pPr>
        <w:widowControl/>
        <w:spacing w:line="480" w:lineRule="auto"/>
        <w:jc w:val="both"/>
      </w:pPr>
      <w:r w:rsidRPr="007E4663">
        <w:tab/>
        <w:t>Rule 1.5(e) was then revised to read as follows:</w:t>
      </w:r>
    </w:p>
    <w:p w14:paraId="151D51EC" w14:textId="77777777" w:rsidR="00DA18E6" w:rsidRPr="007E4663" w:rsidRDefault="00DA18E6" w:rsidP="00DA18E6">
      <w:pPr>
        <w:widowControl/>
        <w:ind w:left="720" w:right="720"/>
        <w:jc w:val="both"/>
      </w:pPr>
      <w:r w:rsidRPr="007E4663">
        <w:t>A division of fee between lawyers who are not in the same firm may be made only if:</w:t>
      </w:r>
    </w:p>
    <w:p w14:paraId="20DC7658" w14:textId="77777777" w:rsidR="00DA18E6" w:rsidRPr="007E4663" w:rsidRDefault="00DA18E6" w:rsidP="00DA18E6">
      <w:pPr>
        <w:widowControl/>
        <w:ind w:left="720" w:right="720"/>
        <w:jc w:val="both"/>
      </w:pPr>
      <w:r w:rsidRPr="007E4663">
        <w:t>(1) the client agrees in writing to the representation by all of the lawyers involved, and is advised in writing as to the share of the fee that each lawyer will receive;</w:t>
      </w:r>
    </w:p>
    <w:p w14:paraId="44B4DCDE" w14:textId="77777777" w:rsidR="00DA18E6" w:rsidRPr="007E4663" w:rsidRDefault="00DA18E6" w:rsidP="00DA18E6">
      <w:pPr>
        <w:widowControl/>
        <w:ind w:left="720" w:right="720"/>
        <w:jc w:val="both"/>
      </w:pPr>
      <w:r w:rsidRPr="007E4663">
        <w:t>(2) the total fee is reasonable; and</w:t>
      </w:r>
    </w:p>
    <w:p w14:paraId="698A14C0" w14:textId="77777777" w:rsidR="00DA18E6" w:rsidRPr="007E4663" w:rsidRDefault="00DA18E6" w:rsidP="00DA18E6">
      <w:pPr>
        <w:widowControl/>
        <w:ind w:left="720" w:right="720"/>
        <w:jc w:val="both"/>
      </w:pPr>
      <w:r w:rsidRPr="007E4663">
        <w:t>(3) each lawyer renders meaningful legal services for the client in the matter.</w:t>
      </w:r>
    </w:p>
    <w:p w14:paraId="1603A0D1" w14:textId="77777777" w:rsidR="00DA18E6" w:rsidRPr="007E4663" w:rsidRDefault="00DA18E6" w:rsidP="00DA18E6">
      <w:pPr>
        <w:widowControl/>
        <w:ind w:left="720" w:right="720"/>
        <w:jc w:val="both"/>
      </w:pPr>
    </w:p>
    <w:p w14:paraId="714AFD5D" w14:textId="31C84E06" w:rsidR="00DA18E6" w:rsidRPr="007E4663" w:rsidRDefault="00DA18E6" w:rsidP="00DA18E6">
      <w:pPr>
        <w:widowControl/>
        <w:spacing w:line="480" w:lineRule="auto"/>
        <w:jc w:val="both"/>
      </w:pPr>
      <w:r w:rsidRPr="007E4663">
        <w:lastRenderedPageBreak/>
        <w:t xml:space="preserve">LA ST BAR ART 14 RPC Rule 1.5.  The major changes include that the current rule requires that the client consent in writing to the division of fees between the lawyers.  The client must also now agree in writing to the split of the fees between the lawyers.  Finally, the new version of the rule eliminates a requirement that the fee be divided in proportion to the work performed, but instead, each lawyer now must render “meaningful legal services.”  While the prior rule allowed an </w:t>
      </w:r>
      <w:proofErr w:type="spellStart"/>
      <w:r w:rsidRPr="007E4663">
        <w:t>exceptin</w:t>
      </w:r>
      <w:proofErr w:type="spellEnd"/>
      <w:r w:rsidRPr="007E4663">
        <w:t xml:space="preserve"> where the fee could be divided disproportionately with the work performed only if the client agreed to it in writing, under the new rule, even if the client agrees in writing, each lawyer must still render some form of meaningful legal services.  </w:t>
      </w:r>
    </w:p>
    <w:p w14:paraId="6A72247B" w14:textId="3539DAEA" w:rsidR="004239F3" w:rsidRPr="007E4663" w:rsidRDefault="004239F3" w:rsidP="00DA18E6">
      <w:pPr>
        <w:widowControl/>
        <w:spacing w:line="480" w:lineRule="auto"/>
        <w:ind w:firstLine="720"/>
        <w:jc w:val="both"/>
      </w:pPr>
      <w:r w:rsidRPr="007E4663">
        <w:t>Presumably, the effort was to tighten the rule or even make it more stringent on the sharing of fees.  However, some would argue that the new rule made it easier for lawyers to share fees.  Provided the client is advised that there is a fee split in writing, and the client consents to that split, an argument could be made the that rule is even easier for lawyers to follow and share fees outside their own firm.  Nevertheless, there are still rules required to be followed by the Supreme Court.</w:t>
      </w:r>
    </w:p>
    <w:p w14:paraId="0614E5A6" w14:textId="4B7B26E5" w:rsidR="004239F3" w:rsidRPr="007E4663" w:rsidRDefault="004239F3" w:rsidP="00CF675F">
      <w:pPr>
        <w:widowControl/>
        <w:spacing w:line="480" w:lineRule="auto"/>
        <w:jc w:val="both"/>
      </w:pPr>
      <w:r w:rsidRPr="007E4663">
        <w:tab/>
        <w:t>A likely popular view is that compliance with Rule 1.5(e) would be necessary in order for two lawyers to be legally bound to a fee sharing agreement.  However, at least one judge in Orleans Parish, along with the Louisiana Fourth Circuit seem to disagree.  The Louisiana Supreme Court, as we speak, will decide whether that seemingly popular view is in fact the law</w:t>
      </w:r>
      <w:r w:rsidR="00DA18E6" w:rsidRPr="007E4663">
        <w:t xml:space="preserve">, or </w:t>
      </w:r>
      <w:r w:rsidRPr="007E4663">
        <w:t xml:space="preserve">whether there is a simple end-around that will allow Rule 1.5(e) to be </w:t>
      </w:r>
      <w:r w:rsidR="00585B91" w:rsidRPr="007E4663">
        <w:t>ignored.</w:t>
      </w:r>
    </w:p>
    <w:p w14:paraId="2BD00178" w14:textId="1B09960A" w:rsidR="00585B91" w:rsidRPr="007E4663" w:rsidRDefault="00CF675F" w:rsidP="00CF675F">
      <w:pPr>
        <w:widowControl/>
        <w:spacing w:line="480" w:lineRule="auto"/>
        <w:jc w:val="center"/>
        <w:rPr>
          <w:b/>
          <w:bCs/>
          <w:u w:val="single"/>
        </w:rPr>
      </w:pPr>
      <w:r w:rsidRPr="007E4663">
        <w:rPr>
          <w:b/>
          <w:bCs/>
          <w:u w:val="single"/>
        </w:rPr>
        <w:t>Case Background</w:t>
      </w:r>
    </w:p>
    <w:p w14:paraId="190AF097" w14:textId="77777777" w:rsidR="00585B91" w:rsidRPr="007E4663" w:rsidRDefault="00585B91" w:rsidP="00CF675F">
      <w:pPr>
        <w:widowControl/>
        <w:spacing w:line="480" w:lineRule="auto"/>
        <w:jc w:val="both"/>
      </w:pPr>
      <w:r w:rsidRPr="007E4663">
        <w:tab/>
        <w:t xml:space="preserve">All of the following is public record, resulting from a bench trial in Orleans Parish in 2023.  </w:t>
      </w:r>
    </w:p>
    <w:p w14:paraId="16EB2FE3" w14:textId="67798C80" w:rsidR="00585B91" w:rsidRPr="007E4663" w:rsidRDefault="00585B91" w:rsidP="00CF675F">
      <w:pPr>
        <w:widowControl/>
        <w:spacing w:line="480" w:lineRule="auto"/>
        <w:ind w:firstLine="720"/>
        <w:jc w:val="both"/>
      </w:pPr>
      <w:r w:rsidRPr="007E4663">
        <w:t xml:space="preserve">In 2005, Hurricane Katrina caused widespread damage in New Orleans, including to the facilities operated by the Port of New Orleans.  Ike Spears, a well-known politically-active practicing attorney in the Greater New Orleans area, approached a colleague of his, William “Bill” Hall, shortly after Hurricane Katrina about the possibility of working together on a Katrina insurance claim for the Port of New Orleans.  Bill Hall was a local attorney with contacts </w:t>
      </w:r>
      <w:r w:rsidR="005869D3" w:rsidRPr="007E4663">
        <w:t>predominantly</w:t>
      </w:r>
      <w:r w:rsidRPr="007E4663">
        <w:t xml:space="preserve"> in Jefferson Parish, as he was a former assistant District Attorney in Jefferson.  Together, Spears felt that they could jointly submit a request to the Port of New Orleans to be hired as the attorneys for the Port on their insurance claims.</w:t>
      </w:r>
    </w:p>
    <w:p w14:paraId="5B7CD72A" w14:textId="464D3183" w:rsidR="00585B91" w:rsidRPr="007E4663" w:rsidRDefault="00585B91" w:rsidP="00CF675F">
      <w:pPr>
        <w:widowControl/>
        <w:spacing w:line="480" w:lineRule="auto"/>
        <w:jc w:val="both"/>
      </w:pPr>
      <w:r w:rsidRPr="007E4663">
        <w:tab/>
      </w:r>
      <w:r w:rsidR="005869D3" w:rsidRPr="007E4663">
        <w:t xml:space="preserve">The Port, through its Board of Commissioners, sent out a Request for Proposal (“RFP”) for attorneys to submit their qualifications and make a proposal to represent the Port in its Katrina </w:t>
      </w:r>
      <w:r w:rsidR="005869D3" w:rsidRPr="007E4663">
        <w:lastRenderedPageBreak/>
        <w:t xml:space="preserve">insurance claims.  The </w:t>
      </w:r>
      <w:r w:rsidRPr="007E4663">
        <w:t>Hall and Spears jointly submitted</w:t>
      </w:r>
      <w:r w:rsidR="005869D3" w:rsidRPr="007E4663">
        <w:t xml:space="preserve"> together for retention by the Board of Commissioners.  The hope for each of them was that Spears’ relationships with certain board members, coupled with Hall’s relationships with other board members, would allow them to curry favor with the Board in the selection process.  That being said, there is no dispute that both Hall and Spears individually possessed the legal experience, knowledge, and skill to allow each of them individually, or certainly jointly, to merit their selection by the Board to represent the Port on these insurance claims.  Nevertheless, the political goodwill of Spears was undisputed to be a reason that the two chose to submit jointly to the Board for selection.</w:t>
      </w:r>
    </w:p>
    <w:p w14:paraId="717638A4" w14:textId="70EAB558" w:rsidR="005869D3" w:rsidRPr="007E4663" w:rsidRDefault="005869D3" w:rsidP="00CF675F">
      <w:pPr>
        <w:widowControl/>
        <w:spacing w:line="480" w:lineRule="auto"/>
        <w:jc w:val="both"/>
      </w:pPr>
      <w:r w:rsidRPr="007E4663">
        <w:tab/>
        <w:t>The Port Board ultimately selected the “Spears-Hall Team” to represent it in the Katrina insurance claims.  However, one key element in the Board’s resolution was that the Board instructed the General Counsel for the Port (in-house attorney for the Port) to negotiate a fee agreement with the selected team following this choice of selection by the Board.</w:t>
      </w:r>
      <w:r w:rsidR="00A60F10" w:rsidRPr="007E4663">
        <w:t xml:space="preserve">  When the general counsel met with Spears and Hall about the fee agreement, Spears and Hall proposed a contingency fee agreement.  The Port responded that it was not comfortable with a contingency fee on the insurance claim, but instead would only agree to an hourly fee contract.  Spears then refused to enter into the fee agreement and refused to work on the case.  On the other hand, Hall agreed to the hourly fee, and a fee agreement was executed between the Port and Hall (by himself) on a hourly basis.</w:t>
      </w:r>
    </w:p>
    <w:p w14:paraId="4F5870E9" w14:textId="3BF20CA4" w:rsidR="00A60F10" w:rsidRPr="007E4663" w:rsidRDefault="00A60F10" w:rsidP="00CF675F">
      <w:pPr>
        <w:widowControl/>
        <w:spacing w:line="480" w:lineRule="auto"/>
        <w:jc w:val="both"/>
      </w:pPr>
      <w:r w:rsidRPr="007E4663">
        <w:tab/>
        <w:t>Hall began working on the insurance claim for the Port on an hourly basis for 1-2 years.  At a certain point in the litigation, Hall was approached by another attorney from Florida who offered insight into the bad faith elements of the claim and offered assistance in the representation of the Port.  Hall was impressed and felt that the Port would benefit from the association of this Florida firm.  Thus, he approached the Port to request that they also retain the Florida firm.</w:t>
      </w:r>
    </w:p>
    <w:p w14:paraId="3DDC1EC4" w14:textId="6DABF21F" w:rsidR="00A60F10" w:rsidRPr="007E4663" w:rsidRDefault="00153085" w:rsidP="00CF675F">
      <w:pPr>
        <w:widowControl/>
        <w:spacing w:line="480" w:lineRule="auto"/>
        <w:jc w:val="both"/>
      </w:pPr>
      <w:r w:rsidRPr="007E4663">
        <w:tab/>
        <w:t xml:space="preserve">It is at this juncture that the </w:t>
      </w:r>
      <w:r w:rsidR="00696601" w:rsidRPr="007E4663">
        <w:t xml:space="preserve">central issue in the case arises.  The Florida firm advised that it would only be involved if hired on a contingency fee.  Hall then advised the Port and requested that the fee contract be converted from hourly to a contingency fee arrangement.  That fee agreement would then be with Hall and the Florida firm jointly.  The Port agreed, through its in-house counsel, and the Port then executed a contingency fee agreement hiring Hall and the Florida firm to handle the insurance claim from that point in 2007 forward on a contingency fee.  That </w:t>
      </w:r>
      <w:r w:rsidR="00696601" w:rsidRPr="007E4663">
        <w:lastRenderedPageBreak/>
        <w:t>fee contract was not ratified by the Board for approval, but it was executed by the Port attorney and Executive Director.</w:t>
      </w:r>
    </w:p>
    <w:p w14:paraId="0AF6BF47" w14:textId="63BC3E94" w:rsidR="00696601" w:rsidRPr="007E4663" w:rsidRDefault="00696601" w:rsidP="00CF675F">
      <w:pPr>
        <w:widowControl/>
        <w:spacing w:line="480" w:lineRule="auto"/>
        <w:jc w:val="both"/>
      </w:pPr>
      <w:r w:rsidRPr="007E4663">
        <w:tab/>
        <w:t xml:space="preserve">It is undisputed that Spears never performed any legal work on the case.  </w:t>
      </w:r>
      <w:r w:rsidR="00DA211B" w:rsidRPr="007E4663">
        <w:t xml:space="preserve">He prepared no pleadings, he did no legal research, he did not communicate with the Port regarding the case, he admitted to performing no legal work on the case other than “getting the client”.  </w:t>
      </w:r>
      <w:r w:rsidRPr="007E4663">
        <w:t>It is undisputed that Spears was never named on any fee contract executed between the Port and any attorney.  It is undisputed that Spears never even thought about the case from the moment he refused to work on the hourly fee agreement to the conclusion of the case.  From the point in time that Spears refused the hourly fee agreement to the conclusion of the case, all legal work and all other work on the case was performed by Hall and/or by the Florida firm hired by the Port.</w:t>
      </w:r>
    </w:p>
    <w:p w14:paraId="74C3EB94" w14:textId="3B679A48" w:rsidR="00696601" w:rsidRPr="007E4663" w:rsidRDefault="00696601" w:rsidP="00CF675F">
      <w:pPr>
        <w:widowControl/>
        <w:spacing w:line="480" w:lineRule="auto"/>
        <w:jc w:val="both"/>
      </w:pPr>
      <w:r w:rsidRPr="007E4663">
        <w:tab/>
        <w:t xml:space="preserve">In 2008, the overall insurance claim for the Port was settled.  That settlement, and all partial payments in between yielded </w:t>
      </w:r>
      <w:r w:rsidR="00E34BF6" w:rsidRPr="007E4663">
        <w:t xml:space="preserve">over $100 million to the Port and </w:t>
      </w:r>
      <w:r w:rsidRPr="007E4663">
        <w:t>a multi-million dollar contingency fee</w:t>
      </w:r>
      <w:r w:rsidR="00E34BF6" w:rsidRPr="007E4663">
        <w:t xml:space="preserve"> to Hall and the Florida firm</w:t>
      </w:r>
      <w:r w:rsidRPr="007E4663">
        <w:t>.</w:t>
      </w:r>
      <w:r w:rsidR="00E34BF6" w:rsidRPr="007E4663">
        <w:t xml:space="preserve">  For purposes of this discussion, the only issue is that there was a $5 million fee paid to Hall pursuant to that contingency fee agreement.  The settlement with the Port and the fees paid to Hall and to the Florida firm were approved by the Port Board.</w:t>
      </w:r>
    </w:p>
    <w:p w14:paraId="7CA62210" w14:textId="70A6B5F1" w:rsidR="00E34BF6" w:rsidRPr="007E4663" w:rsidRDefault="00E34BF6" w:rsidP="00CF675F">
      <w:pPr>
        <w:widowControl/>
        <w:spacing w:line="480" w:lineRule="auto"/>
        <w:jc w:val="both"/>
      </w:pPr>
      <w:r w:rsidRPr="007E4663">
        <w:tab/>
        <w:t>Over a year later, Spears reached out to Hall and requested a share of ½ of the contingency fee paid to Hall, $2.5 million.  Hall refused on the basis that it would be improper fee sharing under Rule 1.5.  Spears then filed suit</w:t>
      </w:r>
      <w:r w:rsidR="004724C7" w:rsidRPr="007E4663">
        <w:t xml:space="preserve"> against Hall.  Spears did </w:t>
      </w:r>
      <w:r w:rsidR="004724C7" w:rsidRPr="007E4663">
        <w:rPr>
          <w:i/>
          <w:iCs/>
        </w:rPr>
        <w:t xml:space="preserve">not </w:t>
      </w:r>
      <w:r w:rsidR="004724C7" w:rsidRPr="007E4663">
        <w:t>file suit against the Port for hiring the Florida firm or for executing another contingency fee contract in alleged violation of the prior resolution.  The only suit was against Hall, in pertinent part, for the following:</w:t>
      </w:r>
    </w:p>
    <w:p w14:paraId="42B30351" w14:textId="4DEEA071" w:rsidR="004724C7" w:rsidRPr="007E4663" w:rsidRDefault="004724C7" w:rsidP="004724C7">
      <w:pPr>
        <w:pStyle w:val="ListParagraph"/>
        <w:widowControl/>
        <w:numPr>
          <w:ilvl w:val="0"/>
          <w:numId w:val="16"/>
        </w:numPr>
        <w:spacing w:line="480" w:lineRule="auto"/>
        <w:jc w:val="both"/>
      </w:pPr>
      <w:r w:rsidRPr="007E4663">
        <w:t>That Hall beached a fiduciary duty that he owed to Spears in their original oral agreement with one another;</w:t>
      </w:r>
    </w:p>
    <w:p w14:paraId="1BED32DC" w14:textId="03A0BDCC" w:rsidR="004724C7" w:rsidRPr="007E4663" w:rsidRDefault="004724C7" w:rsidP="004724C7">
      <w:pPr>
        <w:pStyle w:val="ListParagraph"/>
        <w:widowControl/>
        <w:numPr>
          <w:ilvl w:val="0"/>
          <w:numId w:val="16"/>
        </w:numPr>
        <w:spacing w:line="480" w:lineRule="auto"/>
        <w:jc w:val="both"/>
      </w:pPr>
      <w:r w:rsidRPr="007E4663">
        <w:t>That Hall and Spears were part of a joint venture with one another for half of all fees earned on the litigation, without regard to the work performed by either; and</w:t>
      </w:r>
    </w:p>
    <w:p w14:paraId="6B5E5E9D" w14:textId="21C11217" w:rsidR="004724C7" w:rsidRPr="007E4663" w:rsidRDefault="004724C7" w:rsidP="004724C7">
      <w:pPr>
        <w:pStyle w:val="ListParagraph"/>
        <w:widowControl/>
        <w:numPr>
          <w:ilvl w:val="0"/>
          <w:numId w:val="16"/>
        </w:numPr>
        <w:spacing w:line="480" w:lineRule="auto"/>
        <w:jc w:val="both"/>
      </w:pPr>
      <w:r w:rsidRPr="007E4663">
        <w:t>That a contract/agreement in violation of Rule 1.5 remains legally enforceable, despite that it violates the Rules of Professional Conduct.</w:t>
      </w:r>
    </w:p>
    <w:p w14:paraId="6AF96357" w14:textId="0C64FFC6" w:rsidR="004724C7" w:rsidRPr="007E4663" w:rsidRDefault="004724C7" w:rsidP="004724C7">
      <w:pPr>
        <w:widowControl/>
        <w:spacing w:line="480" w:lineRule="auto"/>
        <w:ind w:left="360"/>
        <w:jc w:val="both"/>
      </w:pPr>
      <w:r w:rsidRPr="007E4663">
        <w:t>Hall’s primary defenses were:</w:t>
      </w:r>
    </w:p>
    <w:p w14:paraId="514F5443" w14:textId="16EFBE08" w:rsidR="004724C7" w:rsidRPr="007E4663" w:rsidRDefault="004724C7" w:rsidP="004724C7">
      <w:pPr>
        <w:pStyle w:val="ListParagraph"/>
        <w:widowControl/>
        <w:numPr>
          <w:ilvl w:val="0"/>
          <w:numId w:val="17"/>
        </w:numPr>
        <w:spacing w:line="480" w:lineRule="auto"/>
        <w:jc w:val="both"/>
      </w:pPr>
      <w:r w:rsidRPr="007E4663">
        <w:t>There is no fiduciary duty owed from one lawyer to another to protect their fees;</w:t>
      </w:r>
    </w:p>
    <w:p w14:paraId="39172E36" w14:textId="77777777" w:rsidR="004724C7" w:rsidRPr="007E4663" w:rsidRDefault="004724C7" w:rsidP="004724C7">
      <w:pPr>
        <w:pStyle w:val="ListParagraph"/>
        <w:widowControl/>
        <w:numPr>
          <w:ilvl w:val="0"/>
          <w:numId w:val="17"/>
        </w:numPr>
        <w:spacing w:line="480" w:lineRule="auto"/>
        <w:jc w:val="both"/>
      </w:pPr>
      <w:r w:rsidRPr="007E4663">
        <w:t>Spears could not prove that a joint venture was ever formed;</w:t>
      </w:r>
    </w:p>
    <w:p w14:paraId="46AB10C9" w14:textId="007C3C05" w:rsidR="004724C7" w:rsidRPr="007E4663" w:rsidRDefault="004724C7" w:rsidP="004724C7">
      <w:pPr>
        <w:pStyle w:val="ListParagraph"/>
        <w:widowControl/>
        <w:numPr>
          <w:ilvl w:val="0"/>
          <w:numId w:val="17"/>
        </w:numPr>
        <w:spacing w:line="480" w:lineRule="auto"/>
        <w:jc w:val="both"/>
      </w:pPr>
      <w:r w:rsidRPr="007E4663">
        <w:lastRenderedPageBreak/>
        <w:t>If there ever was any joint venture or agreement between Hall and Spears, that venture ended when Spears refused the hourly contract;</w:t>
      </w:r>
    </w:p>
    <w:p w14:paraId="4C0E5A27" w14:textId="3C5975CD" w:rsidR="004724C7" w:rsidRPr="007E4663" w:rsidRDefault="004724C7" w:rsidP="004724C7">
      <w:pPr>
        <w:pStyle w:val="ListParagraph"/>
        <w:widowControl/>
        <w:numPr>
          <w:ilvl w:val="0"/>
          <w:numId w:val="17"/>
        </w:numPr>
        <w:spacing w:line="480" w:lineRule="auto"/>
        <w:jc w:val="both"/>
      </w:pPr>
      <w:r w:rsidRPr="007E4663">
        <w:t xml:space="preserve">Most importantly, </w:t>
      </w:r>
      <w:r w:rsidR="00895850" w:rsidRPr="007E4663">
        <w:t xml:space="preserve">any fee paid to Spears would violate Rule 1.5(e) of the Rules of Professional Conduct, therefore, any agreement or contract between Hall and Spears to share those fees would be void as it is </w:t>
      </w:r>
      <w:r w:rsidR="00895850" w:rsidRPr="007E4663">
        <w:rPr>
          <w:i/>
          <w:iCs/>
        </w:rPr>
        <w:t xml:space="preserve">contra bona mores. </w:t>
      </w:r>
    </w:p>
    <w:p w14:paraId="407A6B57" w14:textId="7C54018B" w:rsidR="00895850" w:rsidRPr="007E4663" w:rsidRDefault="00895850" w:rsidP="00895850">
      <w:pPr>
        <w:widowControl/>
        <w:spacing w:line="480" w:lineRule="auto"/>
        <w:jc w:val="center"/>
        <w:rPr>
          <w:b/>
          <w:bCs/>
          <w:u w:val="single"/>
        </w:rPr>
      </w:pPr>
      <w:r w:rsidRPr="007E4663">
        <w:rPr>
          <w:b/>
          <w:bCs/>
          <w:u w:val="single"/>
        </w:rPr>
        <w:t>PROCEDURAL HISTORY</w:t>
      </w:r>
    </w:p>
    <w:p w14:paraId="041790C4" w14:textId="77777777" w:rsidR="00F52531" w:rsidRPr="007E4663" w:rsidRDefault="00017B7B" w:rsidP="00BE78B7">
      <w:pPr>
        <w:widowControl/>
        <w:spacing w:line="480" w:lineRule="auto"/>
        <w:ind w:firstLine="720"/>
        <w:jc w:val="both"/>
      </w:pPr>
      <w:r w:rsidRPr="007E4663">
        <w:t xml:space="preserve">On </w:t>
      </w:r>
      <w:r w:rsidR="0053608B" w:rsidRPr="007E4663">
        <w:t>July 19, 2023</w:t>
      </w:r>
      <w:r w:rsidRPr="007E4663">
        <w:t xml:space="preserve">, the district court rendered judgment in favor of </w:t>
      </w:r>
      <w:r w:rsidR="0053608B" w:rsidRPr="007E4663">
        <w:t>Spears</w:t>
      </w:r>
      <w:r w:rsidRPr="007E4663">
        <w:t xml:space="preserve">, awarding </w:t>
      </w:r>
      <w:r w:rsidR="00624E9C" w:rsidRPr="007E4663">
        <w:t xml:space="preserve">him </w:t>
      </w:r>
      <w:r w:rsidR="0053608B" w:rsidRPr="007E4663">
        <w:t>$2,551,079.86</w:t>
      </w:r>
      <w:r w:rsidR="001F1F0B" w:rsidRPr="007E4663">
        <w:t xml:space="preserve"> plus interest and costs</w:t>
      </w:r>
      <w:r w:rsidR="00624E9C" w:rsidRPr="007E4663">
        <w:t xml:space="preserve"> on</w:t>
      </w:r>
      <w:r w:rsidR="001F1F0B" w:rsidRPr="007E4663">
        <w:t xml:space="preserve"> his </w:t>
      </w:r>
      <w:r w:rsidRPr="007E4663">
        <w:t xml:space="preserve">claim </w:t>
      </w:r>
      <w:r w:rsidR="001F1F0B" w:rsidRPr="007E4663">
        <w:t>for “breach of joint venture</w:t>
      </w:r>
      <w:r w:rsidRPr="007E4663">
        <w:t>.</w:t>
      </w:r>
      <w:r w:rsidR="001F1F0B" w:rsidRPr="007E4663">
        <w:t>”</w:t>
      </w:r>
      <w:r w:rsidRPr="007E4663">
        <w:t xml:space="preserve"> </w:t>
      </w:r>
      <w:r w:rsidR="00CB4E06" w:rsidRPr="007E4663">
        <w:t xml:space="preserve">R. 684-92. </w:t>
      </w:r>
      <w:r w:rsidR="00895850" w:rsidRPr="007E4663">
        <w:t xml:space="preserve">The Louisiana Fourth Circuit affirmed that judgment, finding that there was a joint venture agreement and that the terms of that joint venture were violated by the non-payment of fees to Spears.  </w:t>
      </w:r>
      <w:r w:rsidR="00BE78B7" w:rsidRPr="007E4663">
        <w:rPr>
          <w:i/>
          <w:iCs/>
        </w:rPr>
        <w:t>Spears v. Hall</w:t>
      </w:r>
      <w:r w:rsidR="00BE78B7" w:rsidRPr="007E4663">
        <w:t xml:space="preserve">, 2024-0075 (La. App. 4 Cir. 1/13/25), 414 So. 3d 620, 623.  </w:t>
      </w:r>
    </w:p>
    <w:p w14:paraId="00160763" w14:textId="0518137C" w:rsidR="00F52531" w:rsidRPr="007E4663" w:rsidRDefault="00F52531" w:rsidP="008B2872">
      <w:pPr>
        <w:spacing w:line="480" w:lineRule="auto"/>
        <w:ind w:firstLine="720"/>
        <w:jc w:val="both"/>
      </w:pPr>
      <w:r w:rsidRPr="007E4663">
        <w:t>Only one Judge gave any reasons. Judge Brown’s single-judge plurality opinion</w:t>
      </w:r>
      <w:r w:rsidRPr="007E4663">
        <w:rPr>
          <w:rStyle w:val="FootnoteReference"/>
        </w:rPr>
        <w:footnoteReference w:id="1"/>
      </w:r>
      <w:r w:rsidRPr="007E4663">
        <w:t xml:space="preserve"> found that Spears “delivered” the Port’s legal work to Hall “through his relationships.” </w:t>
      </w:r>
      <w:r w:rsidR="008B2872">
        <w:t>T</w:t>
      </w:r>
      <w:r w:rsidRPr="007E4663">
        <w:t xml:space="preserve">he Fourth Circuit held that the Louisiana Rules of Professional Conduct are “not germane” to disputes over legal fees that arise out of the breach of a joint venture agreement. </w:t>
      </w:r>
      <w:r w:rsidRPr="007E4663">
        <w:rPr>
          <w:i/>
          <w:iCs/>
        </w:rPr>
        <w:t>See</w:t>
      </w:r>
      <w:r w:rsidRPr="007E4663">
        <w:t xml:space="preserve"> Fourth Cir. Op. at 24. With two concurrences and one written opinion, the Fourth Circuit awarded Spears a $2.5 million dollar fee—a fee that Rules 1.5(e) and 7.2(c)(13) prohibits—under “the particularized set of facts presented to us in the case </w:t>
      </w:r>
      <w:r w:rsidRPr="007E4663">
        <w:rPr>
          <w:i/>
          <w:iCs/>
        </w:rPr>
        <w:t>sub judice</w:t>
      </w:r>
      <w:r w:rsidRPr="007E4663">
        <w:t xml:space="preserve">.” </w:t>
      </w:r>
      <w:r w:rsidRPr="007E4663">
        <w:rPr>
          <w:i/>
          <w:iCs/>
        </w:rPr>
        <w:t>Id.</w:t>
      </w:r>
      <w:r w:rsidRPr="007E4663">
        <w:t xml:space="preserve"> at 22.</w:t>
      </w:r>
    </w:p>
    <w:p w14:paraId="783B73DE" w14:textId="77898B02" w:rsidR="00895850" w:rsidRPr="007E4663" w:rsidRDefault="00895850" w:rsidP="00BE78B7">
      <w:pPr>
        <w:widowControl/>
        <w:spacing w:line="480" w:lineRule="auto"/>
        <w:ind w:firstLine="720"/>
        <w:jc w:val="both"/>
      </w:pPr>
      <w:r w:rsidRPr="007E4663">
        <w:t>Hall appealed to the Louisiana Supreme Court.  The Supreme Court granted writs, received briefing from all sides, and conducted oral argument in October 2025.</w:t>
      </w:r>
    </w:p>
    <w:p w14:paraId="604D042F" w14:textId="20AE5F21" w:rsidR="00895850" w:rsidRPr="007E4663" w:rsidRDefault="00895850" w:rsidP="00CF675F">
      <w:pPr>
        <w:widowControl/>
        <w:spacing w:line="480" w:lineRule="auto"/>
        <w:ind w:firstLine="720"/>
        <w:jc w:val="both"/>
      </w:pPr>
      <w:r w:rsidRPr="007E4663">
        <w:t xml:space="preserve">Justice William Crain was on the bench when briefing and argument was received.  A series of opinions were released from the Court prior to </w:t>
      </w:r>
      <w:r w:rsidR="008D1171" w:rsidRPr="007E4663">
        <w:t xml:space="preserve">his confirmation to the Eastern District of Louisiana.  No opinion was released on this case.  As a result, this case remains pending before the Supreme Court, presumably to be decided with the input of the temporary sitting Justice.  Whether additional briefing or additional argument will occur due to the appointment of a new Justice is unclear to the parties.  </w:t>
      </w:r>
    </w:p>
    <w:p w14:paraId="5977FC35" w14:textId="160168E9" w:rsidR="008D1171" w:rsidRPr="007E4663" w:rsidRDefault="008D1171" w:rsidP="00CF675F">
      <w:pPr>
        <w:widowControl/>
        <w:spacing w:line="480" w:lineRule="auto"/>
        <w:ind w:firstLine="720"/>
        <w:jc w:val="both"/>
      </w:pPr>
      <w:r w:rsidRPr="007E4663">
        <w:t xml:space="preserve">Nevertheless, the Court will be tasked to decide whether Rule 1.5(e) is a requirement for a contract for fee sharing to be enforceable.  A decision affirming the Fourth Circuit would seem to </w:t>
      </w:r>
      <w:r w:rsidRPr="007E4663">
        <w:lastRenderedPageBreak/>
        <w:t>allow separate “joint venture agreements” to be used to allow fee splitting between lawyers of other firms, including referral fees, without a need to comply with Rule 1.5.  A decision reversing the Fourth Circuit would seem to indicate that Rule 1.5 governs the legality of fee sharing between lawyers.</w:t>
      </w:r>
    </w:p>
    <w:p w14:paraId="69491431" w14:textId="51CAD548" w:rsidR="00C83F25" w:rsidRPr="007E4663" w:rsidRDefault="00017B7B" w:rsidP="00C83F25">
      <w:pPr>
        <w:widowControl/>
        <w:tabs>
          <w:tab w:val="center" w:pos="4680"/>
        </w:tabs>
        <w:spacing w:line="480" w:lineRule="auto"/>
        <w:jc w:val="both"/>
        <w:rPr>
          <w:b/>
          <w:bCs/>
          <w:u w:val="single"/>
        </w:rPr>
      </w:pPr>
      <w:r w:rsidRPr="007E4663">
        <w:tab/>
      </w:r>
      <w:r w:rsidR="00C83F25" w:rsidRPr="007E4663">
        <w:rPr>
          <w:b/>
          <w:bCs/>
          <w:u w:val="single"/>
        </w:rPr>
        <w:t>Rules of Professional Conduct</w:t>
      </w:r>
    </w:p>
    <w:p w14:paraId="030114BD" w14:textId="77777777" w:rsidR="008B2872" w:rsidRDefault="008B2872" w:rsidP="00223107">
      <w:pPr>
        <w:widowControl/>
        <w:spacing w:line="480" w:lineRule="auto"/>
        <w:jc w:val="both"/>
      </w:pPr>
      <w:r>
        <w:t>Rule 1.5 provides for the criteria for allowing fees to be shared between lawyers:</w:t>
      </w:r>
    </w:p>
    <w:p w14:paraId="5D07F829" w14:textId="10E02BE8" w:rsidR="00223107" w:rsidRPr="007E4663" w:rsidRDefault="00223107" w:rsidP="008B2872">
      <w:pPr>
        <w:widowControl/>
        <w:ind w:left="720" w:right="720"/>
        <w:jc w:val="both"/>
      </w:pPr>
      <w:r w:rsidRPr="007E4663">
        <w:t>(e) A division of fee between lawyers who are not in the same firm may be made only if:</w:t>
      </w:r>
    </w:p>
    <w:p w14:paraId="15C822F3" w14:textId="084F3935" w:rsidR="00223107" w:rsidRPr="007E4663" w:rsidRDefault="00223107" w:rsidP="008B2872">
      <w:pPr>
        <w:widowControl/>
        <w:ind w:left="2160" w:right="720" w:hanging="720"/>
        <w:jc w:val="both"/>
      </w:pPr>
      <w:r w:rsidRPr="007E4663">
        <w:t xml:space="preserve">(1) </w:t>
      </w:r>
      <w:r w:rsidR="008B2872">
        <w:tab/>
      </w:r>
      <w:r w:rsidRPr="007E4663">
        <w:t>the client agrees in writing to the representation by all of the lawyers involved, and is advised in writing as to the share of the fee that each lawyer will receive;</w:t>
      </w:r>
    </w:p>
    <w:p w14:paraId="39F186E4" w14:textId="625252D6" w:rsidR="00223107" w:rsidRPr="007E4663" w:rsidRDefault="00223107" w:rsidP="008B2872">
      <w:pPr>
        <w:widowControl/>
        <w:ind w:left="720" w:right="720" w:firstLine="720"/>
        <w:jc w:val="both"/>
      </w:pPr>
      <w:r w:rsidRPr="007E4663">
        <w:t xml:space="preserve">(2) </w:t>
      </w:r>
      <w:r w:rsidR="008B2872">
        <w:tab/>
      </w:r>
      <w:r w:rsidRPr="007E4663">
        <w:t>the total fee is reasonable; and</w:t>
      </w:r>
    </w:p>
    <w:p w14:paraId="01D09EAA" w14:textId="0B40B882" w:rsidR="00223107" w:rsidRDefault="00223107" w:rsidP="008B2872">
      <w:pPr>
        <w:widowControl/>
        <w:ind w:left="2160" w:right="720" w:hanging="720"/>
        <w:jc w:val="both"/>
      </w:pPr>
      <w:r w:rsidRPr="007E4663">
        <w:t xml:space="preserve">(3) </w:t>
      </w:r>
      <w:r w:rsidR="008B2872">
        <w:tab/>
      </w:r>
      <w:r w:rsidRPr="007E4663">
        <w:t>each lawyer renders meaningful legal services for the client in the matter.</w:t>
      </w:r>
    </w:p>
    <w:p w14:paraId="2A5E8CE0" w14:textId="77777777" w:rsidR="008B2872" w:rsidRPr="007E4663" w:rsidRDefault="008B2872" w:rsidP="008B2872">
      <w:pPr>
        <w:widowControl/>
        <w:ind w:left="720" w:right="720"/>
        <w:jc w:val="both"/>
      </w:pPr>
    </w:p>
    <w:p w14:paraId="3C267538" w14:textId="32D4C344" w:rsidR="00223107" w:rsidRPr="007E4663" w:rsidRDefault="00223107" w:rsidP="00223107">
      <w:pPr>
        <w:widowControl/>
        <w:spacing w:line="480" w:lineRule="auto"/>
        <w:jc w:val="both"/>
      </w:pPr>
      <w:r w:rsidRPr="007E4663">
        <w:t>LA ST BAR ART 14 RPC Rule 1.5</w:t>
      </w:r>
      <w:r w:rsidR="008B2872">
        <w:t xml:space="preserve">.  </w:t>
      </w:r>
      <w:r w:rsidRPr="007E4663">
        <w:t>Revised Rule 1.5(e) requires lawyers who share a legal fee but who are not in the same firm: (i) to perform “meaningful legal services” for the client, and (ii) to disclose the “share of the fee that each lawyer will receive.”</w:t>
      </w:r>
      <w:r w:rsidR="008B2872">
        <w:t xml:space="preserve">  </w:t>
      </w:r>
      <w:r w:rsidRPr="007E4663">
        <w:t xml:space="preserve">Dane S. Ciolino, </w:t>
      </w:r>
      <w:r w:rsidRPr="008B2872">
        <w:rPr>
          <w:i/>
          <w:iCs/>
        </w:rPr>
        <w:t>Top 10 Revisions to Louisiana Rules of Professional Conduct</w:t>
      </w:r>
      <w:r w:rsidRPr="007E4663">
        <w:t xml:space="preserve">, 52 </w:t>
      </w:r>
      <w:r w:rsidRPr="008B2872">
        <w:rPr>
          <w:smallCaps/>
        </w:rPr>
        <w:t>La. B.J</w:t>
      </w:r>
      <w:r w:rsidRPr="007E4663">
        <w:t>. 20 (2004)</w:t>
      </w:r>
      <w:r w:rsidR="008B2872">
        <w:t xml:space="preserve">.  </w:t>
      </w:r>
    </w:p>
    <w:p w14:paraId="6665A036" w14:textId="55FDDA51" w:rsidR="00F52531" w:rsidRPr="007E4663" w:rsidRDefault="00F52531" w:rsidP="008B2872">
      <w:pPr>
        <w:pStyle w:val="NoIndent"/>
        <w:ind w:firstLine="720"/>
        <w:jc w:val="both"/>
        <w:rPr>
          <w:rFonts w:ascii="Times New Roman" w:hAnsi="Times New Roman" w:cs="Times New Roman"/>
          <w:szCs w:val="24"/>
        </w:rPr>
      </w:pPr>
      <w:r w:rsidRPr="007E4663">
        <w:rPr>
          <w:rFonts w:ascii="Times New Roman" w:hAnsi="Times New Roman" w:cs="Times New Roman"/>
          <w:szCs w:val="24"/>
        </w:rPr>
        <w:t xml:space="preserve">Louisiana’s rule varies from ABA Model Rule 1.5(e) in two significant aspects. First, our rule requires that the client agree “in writing” to the representation by all lawyers involved, and be advised “in writing as to the share of the fee that each lawyer will receive.” </w:t>
      </w:r>
      <w:r w:rsidRPr="007E4663">
        <w:rPr>
          <w:rFonts w:ascii="Times New Roman" w:hAnsi="Times New Roman" w:cs="Times New Roman"/>
          <w:i/>
          <w:iCs/>
          <w:szCs w:val="24"/>
        </w:rPr>
        <w:t xml:space="preserve">See </w:t>
      </w:r>
      <w:r w:rsidRPr="007E4663">
        <w:rPr>
          <w:rFonts w:ascii="Times New Roman" w:hAnsi="Times New Roman" w:cs="Times New Roman"/>
          <w:szCs w:val="24"/>
        </w:rPr>
        <w:t>Rule 1.5(e)(1)</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\s "La. Rules of Prof’l Cond. r. 1.5(e)"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Neither of these occurred. </w:t>
      </w:r>
      <w:r w:rsidR="008B2872">
        <w:rPr>
          <w:rFonts w:ascii="Times New Roman" w:hAnsi="Times New Roman" w:cs="Times New Roman"/>
          <w:szCs w:val="24"/>
        </w:rPr>
        <w:t xml:space="preserve"> </w:t>
      </w:r>
      <w:r w:rsidRPr="007E4663">
        <w:rPr>
          <w:rFonts w:ascii="Times New Roman" w:hAnsi="Times New Roman" w:cs="Times New Roman"/>
          <w:szCs w:val="24"/>
        </w:rPr>
        <w:t>Second, each lawyer must render “</w:t>
      </w:r>
      <w:r w:rsidRPr="007E4663">
        <w:rPr>
          <w:rFonts w:ascii="Times New Roman" w:hAnsi="Times New Roman" w:cs="Times New Roman"/>
          <w:i/>
          <w:iCs/>
          <w:szCs w:val="24"/>
        </w:rPr>
        <w:t>meaningful</w:t>
      </w:r>
      <w:r w:rsidRPr="007E4663">
        <w:rPr>
          <w:rFonts w:ascii="Times New Roman" w:hAnsi="Times New Roman" w:cs="Times New Roman"/>
          <w:szCs w:val="24"/>
        </w:rPr>
        <w:t xml:space="preserve"> legal services for the client in the matter.”</w:t>
      </w:r>
      <w:r w:rsidRPr="007E4663">
        <w:rPr>
          <w:rFonts w:ascii="Times New Roman" w:hAnsi="Times New Roman" w:cs="Times New Roman"/>
          <w:i/>
          <w:iCs/>
          <w:szCs w:val="24"/>
        </w:rPr>
        <w:t xml:space="preserve"> See </w:t>
      </w:r>
      <w:r w:rsidRPr="007E4663">
        <w:rPr>
          <w:rFonts w:ascii="Times New Roman" w:hAnsi="Times New Roman" w:cs="Times New Roman"/>
          <w:szCs w:val="24"/>
        </w:rPr>
        <w:t>Rule 1.5(e)(3) (emphasis added)</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\s "La. Rules of Prof’l Cond. r. 1.5(e)" </w:instrText>
      </w:r>
      <w:r w:rsidRPr="007E4663">
        <w:rPr>
          <w:rFonts w:ascii="Times New Roman" w:hAnsi="Times New Roman" w:cs="Times New Roman"/>
          <w:szCs w:val="24"/>
        </w:rPr>
        <w:fldChar w:fldCharType="end"/>
      </w:r>
      <w:r w:rsidRPr="007E4663">
        <w:rPr>
          <w:rFonts w:ascii="Times New Roman" w:hAnsi="Times New Roman" w:cs="Times New Roman"/>
          <w:szCs w:val="24"/>
        </w:rPr>
        <w:t>. The Court departed from the ABA Model Rule in this regard to curb abuses attendant to “case brokering” by lawyers—to protect clients from lawyers who simply “sign up” clients, refer the cases out, and reappear when it is time to collect their “share,” of the fee. This Court mandated instead that each lawyer who seeks to share the fee must not only “represent” the client in the matter, but also perform some “meaningful” role in that representation.</w:t>
      </w:r>
    </w:p>
    <w:p w14:paraId="4ECEED86" w14:textId="64BE81BA" w:rsidR="00C83F25" w:rsidRPr="007E4663" w:rsidRDefault="00165C9D" w:rsidP="00C83F25">
      <w:pPr>
        <w:widowControl/>
        <w:spacing w:line="480" w:lineRule="auto"/>
        <w:jc w:val="both"/>
      </w:pPr>
      <w:r>
        <w:tab/>
        <w:t xml:space="preserve">Additionally, our rules prohibit sharing of fees with non-lawyers.  </w:t>
      </w:r>
      <w:r w:rsidR="00AB4CE2" w:rsidRPr="007E4663">
        <w:t xml:space="preserve">Louisiana Rule of Professional Conduct </w:t>
      </w:r>
      <w:r w:rsidR="00E74366" w:rsidRPr="007E4663">
        <w:t xml:space="preserve">7.2(c)(13) prohibits lawyers from </w:t>
      </w:r>
      <w:r w:rsidR="008D788C" w:rsidRPr="007E4663">
        <w:t xml:space="preserve">giving “anything of value to a person for recommending the lawyer’s services” and Rule </w:t>
      </w:r>
      <w:r w:rsidR="00AB4CE2" w:rsidRPr="007E4663">
        <w:t xml:space="preserve">1.5(e) prohibits lawyers “who are not in the same firm” from sharing legal fees unless “the client agrees in writing to the representation by all of the lawyers involved” and “each lawyer renders meaningful legal services for the client in the matter.” </w:t>
      </w:r>
    </w:p>
    <w:p w14:paraId="53B3B5C7" w14:textId="77E4750A" w:rsidR="00C83F25" w:rsidRPr="007E4663" w:rsidRDefault="00BE78B7" w:rsidP="00C83F25">
      <w:pPr>
        <w:widowControl/>
        <w:spacing w:line="480" w:lineRule="auto"/>
        <w:jc w:val="both"/>
      </w:pPr>
      <w:r w:rsidRPr="007E4663">
        <w:t>Rule 7.2 provides:</w:t>
      </w:r>
    </w:p>
    <w:p w14:paraId="446A402A" w14:textId="3FB548BE" w:rsidR="00BE78B7" w:rsidRPr="007E4663" w:rsidRDefault="00BE78B7" w:rsidP="00165C9D">
      <w:pPr>
        <w:widowControl/>
        <w:ind w:left="1440" w:right="720" w:hanging="720"/>
        <w:jc w:val="both"/>
      </w:pPr>
      <w:r w:rsidRPr="007E4663">
        <w:lastRenderedPageBreak/>
        <w:t xml:space="preserve">(13) </w:t>
      </w:r>
      <w:r w:rsidR="00165C9D">
        <w:tab/>
      </w:r>
      <w:r w:rsidRPr="00165C9D">
        <w:rPr>
          <w:b/>
          <w:bCs/>
        </w:rPr>
        <w:t>Payment for Recommendations; Lawyer Referral Service Fees.</w:t>
      </w:r>
      <w:r w:rsidRPr="007E4663">
        <w:t xml:space="preserve"> A lawyer shall not give anything of value to a person for recommending the lawyer's services, except that a lawyer may pay the reasonable cost of advertising or written or recorded communication permitted by these Rules, and may pay the usual charges of a lawyer referral service or other legal service organization only as follows:</w:t>
      </w:r>
    </w:p>
    <w:p w14:paraId="310AC8BD" w14:textId="77777777" w:rsidR="00165C9D" w:rsidRDefault="00165C9D" w:rsidP="00165C9D">
      <w:pPr>
        <w:widowControl/>
        <w:ind w:left="720" w:right="720" w:firstLine="720"/>
        <w:jc w:val="both"/>
      </w:pPr>
    </w:p>
    <w:p w14:paraId="3B2C6F5D" w14:textId="05C3D614" w:rsidR="00BE78B7" w:rsidRPr="007E4663" w:rsidRDefault="00BE78B7" w:rsidP="00165C9D">
      <w:pPr>
        <w:widowControl/>
        <w:ind w:left="2160" w:right="720" w:hanging="720"/>
        <w:jc w:val="both"/>
      </w:pPr>
      <w:r w:rsidRPr="007E4663">
        <w:t xml:space="preserve">(A) </w:t>
      </w:r>
      <w:r w:rsidR="00165C9D">
        <w:tab/>
      </w:r>
      <w:r w:rsidRPr="007E4663">
        <w:t>A lawyer may pay the usual, reasonable and customary charges of a lawyer referral service operated by the Louisiana State Bar Association, any local bar association, or any other not-for-profit organization, provided the lawyer referral service:</w:t>
      </w:r>
    </w:p>
    <w:p w14:paraId="32B9100A" w14:textId="44F86175" w:rsidR="00BE78B7" w:rsidRPr="007E4663" w:rsidRDefault="00BE78B7" w:rsidP="00165C9D">
      <w:pPr>
        <w:widowControl/>
        <w:ind w:left="2880" w:right="720" w:hanging="720"/>
        <w:jc w:val="both"/>
      </w:pPr>
      <w:r w:rsidRPr="007E4663">
        <w:t xml:space="preserve">(i) </w:t>
      </w:r>
      <w:r w:rsidR="00165C9D">
        <w:tab/>
      </w:r>
      <w:r w:rsidRPr="007E4663">
        <w:t>refers all persons who request legal services to a participating lawyer;</w:t>
      </w:r>
    </w:p>
    <w:p w14:paraId="00A90D87" w14:textId="07BF9515" w:rsidR="00BE78B7" w:rsidRPr="007E4663" w:rsidRDefault="00BE78B7" w:rsidP="00165C9D">
      <w:pPr>
        <w:widowControl/>
        <w:ind w:left="2880" w:right="720" w:hanging="720"/>
        <w:jc w:val="both"/>
      </w:pPr>
      <w:r w:rsidRPr="007E4663">
        <w:t xml:space="preserve">(ii) </w:t>
      </w:r>
      <w:r w:rsidR="00165C9D">
        <w:tab/>
      </w:r>
      <w:r w:rsidRPr="007E4663">
        <w:t>prohibits lawyers from increasing their fee to a client to compensate for the referral service charges; and</w:t>
      </w:r>
    </w:p>
    <w:p w14:paraId="7078A8DD" w14:textId="5BC6F65B" w:rsidR="00BE78B7" w:rsidRDefault="00BE78B7" w:rsidP="00165C9D">
      <w:pPr>
        <w:widowControl/>
        <w:ind w:left="2880" w:right="720" w:hanging="720"/>
        <w:jc w:val="both"/>
      </w:pPr>
      <w:r w:rsidRPr="007E4663">
        <w:t xml:space="preserve">(iii) </w:t>
      </w:r>
      <w:r w:rsidR="00165C9D">
        <w:tab/>
      </w:r>
      <w:r w:rsidRPr="007E4663">
        <w:t>fairly and equitably distributes referral cases among the participating lawyers, within their area of practice, by random allotment or by rotation.</w:t>
      </w:r>
    </w:p>
    <w:p w14:paraId="63192C8A" w14:textId="77777777" w:rsidR="00165C9D" w:rsidRPr="007E4663" w:rsidRDefault="00165C9D" w:rsidP="00165C9D">
      <w:pPr>
        <w:widowControl/>
        <w:ind w:left="2880" w:right="720" w:hanging="720"/>
        <w:jc w:val="both"/>
      </w:pPr>
    </w:p>
    <w:p w14:paraId="71166602" w14:textId="73564C3E" w:rsidR="00EE7C1A" w:rsidRDefault="00C17CFC" w:rsidP="00165C9D">
      <w:pPr>
        <w:widowControl/>
        <w:spacing w:line="480" w:lineRule="auto"/>
        <w:jc w:val="both"/>
        <w:rPr>
          <w:iCs/>
        </w:rPr>
      </w:pPr>
      <w:r w:rsidRPr="007E4663">
        <w:t>Likewise, the Court has prohibited lawyers from sharing legal fees or forming law firms with nonlawyers.</w:t>
      </w:r>
      <w:r w:rsidRPr="007E4663">
        <w:rPr>
          <w:rStyle w:val="FootnoteReference"/>
        </w:rPr>
        <w:footnoteReference w:id="2"/>
      </w:r>
      <w:r w:rsidR="00165C9D">
        <w:t xml:space="preserve">  </w:t>
      </w:r>
      <w:bookmarkStart w:id="0" w:name="_Toc137123015"/>
      <w:r w:rsidR="00BE78B7" w:rsidRPr="007E4663">
        <w:rPr>
          <w:iCs/>
        </w:rPr>
        <w:t>Rules 7.2 and 1.5 together</w:t>
      </w:r>
      <w:r w:rsidR="00EB3A53" w:rsidRPr="007E4663">
        <w:rPr>
          <w:iCs/>
        </w:rPr>
        <w:t xml:space="preserve">: (1) </w:t>
      </w:r>
      <w:r w:rsidR="00F8600E" w:rsidRPr="007E4663">
        <w:rPr>
          <w:iCs/>
        </w:rPr>
        <w:t xml:space="preserve">forbid payment of a referral fee, </w:t>
      </w:r>
      <w:r w:rsidR="00EB3A53" w:rsidRPr="007E4663">
        <w:rPr>
          <w:iCs/>
        </w:rPr>
        <w:t xml:space="preserve">(2) </w:t>
      </w:r>
      <w:r w:rsidR="00320D64" w:rsidRPr="007E4663">
        <w:rPr>
          <w:iCs/>
        </w:rPr>
        <w:t xml:space="preserve">require </w:t>
      </w:r>
      <w:r w:rsidR="00EB3A53" w:rsidRPr="007E4663">
        <w:rPr>
          <w:iCs/>
        </w:rPr>
        <w:t xml:space="preserve">the client’s express </w:t>
      </w:r>
      <w:r w:rsidR="00635671" w:rsidRPr="007E4663">
        <w:rPr>
          <w:iCs/>
        </w:rPr>
        <w:t xml:space="preserve">written </w:t>
      </w:r>
      <w:r w:rsidR="00320D64" w:rsidRPr="007E4663">
        <w:rPr>
          <w:iCs/>
        </w:rPr>
        <w:t xml:space="preserve">consent </w:t>
      </w:r>
      <w:r w:rsidR="00635671" w:rsidRPr="007E4663">
        <w:rPr>
          <w:iCs/>
        </w:rPr>
        <w:t xml:space="preserve">for </w:t>
      </w:r>
      <w:r w:rsidR="00EB3A53" w:rsidRPr="007E4663">
        <w:rPr>
          <w:iCs/>
        </w:rPr>
        <w:t xml:space="preserve">a lawyer </w:t>
      </w:r>
      <w:r w:rsidR="00635671" w:rsidRPr="007E4663">
        <w:rPr>
          <w:iCs/>
        </w:rPr>
        <w:t xml:space="preserve">to </w:t>
      </w:r>
      <w:r w:rsidR="00EB3A53" w:rsidRPr="007E4663">
        <w:rPr>
          <w:iCs/>
        </w:rPr>
        <w:t xml:space="preserve">share </w:t>
      </w:r>
      <w:r w:rsidR="00635671" w:rsidRPr="007E4663">
        <w:rPr>
          <w:iCs/>
        </w:rPr>
        <w:t>a fee</w:t>
      </w:r>
      <w:r w:rsidR="00EB3A53" w:rsidRPr="007E4663">
        <w:rPr>
          <w:iCs/>
        </w:rPr>
        <w:t>; and, (3) require any lawyer receiving a share of the fee to provide “meaningful” legal services</w:t>
      </w:r>
      <w:r w:rsidR="001E0462" w:rsidRPr="007E4663">
        <w:rPr>
          <w:iCs/>
        </w:rPr>
        <w:t>.</w:t>
      </w:r>
      <w:r w:rsidR="00EB3A53" w:rsidRPr="007E4663">
        <w:rPr>
          <w:iCs/>
        </w:rPr>
        <w:t xml:space="preserve"> </w:t>
      </w:r>
    </w:p>
    <w:p w14:paraId="3607CE30" w14:textId="3D86BFFE" w:rsidR="00165C9D" w:rsidRPr="00165C9D" w:rsidRDefault="00165C9D" w:rsidP="00165C9D">
      <w:pPr>
        <w:widowControl/>
        <w:spacing w:line="480" w:lineRule="auto"/>
        <w:jc w:val="both"/>
        <w:rPr>
          <w:b/>
          <w:bCs/>
          <w:iCs/>
          <w:u w:val="single"/>
        </w:rPr>
      </w:pPr>
      <w:r w:rsidRPr="00165C9D">
        <w:rPr>
          <w:b/>
          <w:bCs/>
          <w:iCs/>
          <w:u w:val="single"/>
        </w:rPr>
        <w:t>Courts Have Nullified Contracts That Violate The Rules Of Professional Conduct.</w:t>
      </w:r>
    </w:p>
    <w:p w14:paraId="47B0BF29" w14:textId="376CCCC2" w:rsidR="00C17CFC" w:rsidRPr="007E4663" w:rsidRDefault="00165C9D" w:rsidP="00165C9D">
      <w:pPr>
        <w:spacing w:line="480" w:lineRule="auto"/>
        <w:ind w:firstLine="720"/>
        <w:jc w:val="both"/>
      </w:pPr>
      <w:r>
        <w:t xml:space="preserve">The Louisiana Supreme Court </w:t>
      </w:r>
      <w:r w:rsidR="00C17CFC" w:rsidRPr="007E4663">
        <w:t xml:space="preserve">has not </w:t>
      </w:r>
      <w:r>
        <w:t>nullified</w:t>
      </w:r>
      <w:r w:rsidR="00C17CFC" w:rsidRPr="007E4663">
        <w:t xml:space="preserve"> contracts running afoul of the mandatory standards governing the practice of law. In </w:t>
      </w:r>
      <w:r w:rsidR="00C17CFC" w:rsidRPr="007E4663">
        <w:rPr>
          <w:rStyle w:val="Emphasis"/>
        </w:rPr>
        <w:t>Succession of Cloud</w:t>
      </w:r>
      <w:r w:rsidR="00C17CFC" w:rsidRPr="007E4663">
        <w:t>, 530 So. 2d 1146, 1150 (La.1988)</w:t>
      </w:r>
      <w:r w:rsidR="00C17CFC" w:rsidRPr="007E4663">
        <w:fldChar w:fldCharType="begin"/>
      </w:r>
      <w:r w:rsidR="00C17CFC" w:rsidRPr="007E4663">
        <w:instrText xml:space="preserve"> TA \l "</w:instrText>
      </w:r>
      <w:r w:rsidR="00C17CFC" w:rsidRPr="007E4663">
        <w:rPr>
          <w:rStyle w:val="Emphasis"/>
        </w:rPr>
        <w:instrText>Succession of Cloud</w:instrText>
      </w:r>
      <w:r w:rsidR="00C17CFC" w:rsidRPr="007E4663">
        <w:instrText>,</w:instrText>
      </w:r>
      <w:r w:rsidR="00C17CFC" w:rsidRPr="007E4663">
        <w:rPr>
          <w:i/>
          <w:iCs/>
        </w:rPr>
        <w:instrText xml:space="preserve"> </w:instrText>
      </w:r>
      <w:r w:rsidR="00C17CFC" w:rsidRPr="007E4663">
        <w:instrText xml:space="preserve">530 So. 2d 1146 (La.1988)" \s "Succession of Cloud, 530 So. 2d 1146, 1150 (La.1988)" \c 1 </w:instrText>
      </w:r>
      <w:r w:rsidR="00C17CFC" w:rsidRPr="007E4663">
        <w:fldChar w:fldCharType="end"/>
      </w:r>
      <w:r w:rsidR="00C17CFC" w:rsidRPr="007E4663">
        <w:t>, this Court held as follows:</w:t>
      </w:r>
    </w:p>
    <w:p w14:paraId="62A25AEA"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The disciplinary rules are mandatory rules that provide the minimum level of conduct to which an attorney must conform without being subject to disciplinary action. When an attorney enters into a contract with his client in direct and flagrant violation of a disciplinary rule and a subsequent civil action raises the issue of enforcement (or annulment) of the contract, this court, in order to preserve the integrity of its inherent judicial power should prohibit the enforcement of the contract which directly contravenes the Code adopted by this court to regulate the practice of law. Otherwise, this court’s authority to regulate attorney conduct will be substantially undermined.</w:t>
      </w:r>
    </w:p>
    <w:p w14:paraId="0986A6BE" w14:textId="04E0F325" w:rsidR="00C17CFC" w:rsidRPr="007E4663" w:rsidRDefault="00C17CFC" w:rsidP="00C17CFC">
      <w:pPr>
        <w:pStyle w:val="NoIndent"/>
        <w:rPr>
          <w:rFonts w:ascii="Times New Roman" w:hAnsi="Times New Roman" w:cs="Times New Roman"/>
          <w:szCs w:val="24"/>
        </w:rPr>
      </w:pPr>
      <w:r w:rsidRPr="007E4663">
        <w:rPr>
          <w:rFonts w:ascii="Times New Roman" w:hAnsi="Times New Roman" w:cs="Times New Roman"/>
          <w:i/>
          <w:iCs/>
          <w:szCs w:val="24"/>
        </w:rPr>
        <w:t>Id.</w:t>
      </w:r>
      <w:r w:rsidRPr="007E4663">
        <w:rPr>
          <w:rFonts w:ascii="Times New Roman" w:hAnsi="Times New Roman" w:cs="Times New Roman"/>
          <w:szCs w:val="24"/>
        </w:rPr>
        <w:t xml:space="preserve"> at 1150. </w:t>
      </w:r>
      <w:r w:rsidR="00165C9D">
        <w:rPr>
          <w:rFonts w:ascii="Times New Roman" w:hAnsi="Times New Roman" w:cs="Times New Roman"/>
          <w:szCs w:val="24"/>
        </w:rPr>
        <w:t xml:space="preserve">The Supreme Court has also </w:t>
      </w:r>
      <w:r w:rsidRPr="007E4663">
        <w:rPr>
          <w:rFonts w:ascii="Times New Roman" w:hAnsi="Times New Roman" w:cs="Times New Roman"/>
          <w:szCs w:val="24"/>
        </w:rPr>
        <w:t xml:space="preserve">held that “[a]n attorney-client contract which directly violates a disciplinary rule is unenforceable.” </w:t>
      </w:r>
      <w:r w:rsidRPr="007E4663">
        <w:rPr>
          <w:rFonts w:ascii="Times New Roman" w:hAnsi="Times New Roman" w:cs="Times New Roman"/>
          <w:i/>
          <w:szCs w:val="24"/>
        </w:rPr>
        <w:t>Hodges v. Reasonover</w:t>
      </w:r>
      <w:r w:rsidRPr="007E4663">
        <w:rPr>
          <w:rFonts w:ascii="Times New Roman" w:hAnsi="Times New Roman" w:cs="Times New Roman"/>
          <w:szCs w:val="24"/>
        </w:rPr>
        <w:t>, 103 So. 3d 1069, 1073 (La. 2012)</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szCs w:val="24"/>
        </w:rPr>
        <w:instrText>Hodges v. Reasonover</w:instrText>
      </w:r>
      <w:r w:rsidRPr="007E4663">
        <w:rPr>
          <w:rFonts w:ascii="Times New Roman" w:hAnsi="Times New Roman" w:cs="Times New Roman"/>
          <w:szCs w:val="24"/>
        </w:rPr>
        <w:instrText>, 103 So. 3d 1069 (La. 2012)" \s "</w:instrText>
      </w:r>
      <w:r w:rsidRPr="007E4663">
        <w:rPr>
          <w:rFonts w:ascii="Times New Roman" w:hAnsi="Times New Roman" w:cs="Times New Roman"/>
          <w:i/>
          <w:iCs/>
          <w:szCs w:val="24"/>
        </w:rPr>
        <w:instrText>Hodges v. Reasonover</w:instrText>
      </w:r>
      <w:r w:rsidRPr="007E4663">
        <w:rPr>
          <w:rFonts w:ascii="Times New Roman" w:hAnsi="Times New Roman" w:cs="Times New Roman"/>
          <w:szCs w:val="24"/>
        </w:rPr>
        <w:instrText xml:space="preserve">, 103 So. 3d 1069, 1073 (La. 2012)" \c 1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(citing </w:t>
      </w:r>
      <w:r w:rsidRPr="007E4663">
        <w:rPr>
          <w:rFonts w:ascii="Times New Roman" w:hAnsi="Times New Roman" w:cs="Times New Roman"/>
          <w:i/>
          <w:szCs w:val="24"/>
        </w:rPr>
        <w:t>Succession of Cloud</w:t>
      </w:r>
      <w:r w:rsidRPr="007E4663">
        <w:rPr>
          <w:rFonts w:ascii="Times New Roman" w:hAnsi="Times New Roman" w:cs="Times New Roman"/>
          <w:szCs w:val="24"/>
        </w:rPr>
        <w:t>, 530 So. 2d at 1150).</w:t>
      </w:r>
    </w:p>
    <w:p w14:paraId="0DB77170" w14:textId="44DC97E6" w:rsidR="00C17CFC" w:rsidRPr="007E4663" w:rsidRDefault="00165C9D" w:rsidP="00165C9D">
      <w:pPr>
        <w:spacing w:line="480" w:lineRule="auto"/>
        <w:ind w:firstLine="720"/>
        <w:jc w:val="both"/>
      </w:pPr>
      <w:r>
        <w:t>O</w:t>
      </w:r>
      <w:r w:rsidR="00C17CFC" w:rsidRPr="007E4663">
        <w:t>ther Louisiana courts have found contracts facilitating the unauthorized practice of law by nonlawyers to be absolutely null.</w:t>
      </w:r>
      <w:r w:rsidR="00C17CFC" w:rsidRPr="007E4663">
        <w:rPr>
          <w:rStyle w:val="FootnoteReference"/>
        </w:rPr>
        <w:footnoteReference w:id="3"/>
      </w:r>
      <w:r w:rsidR="00C17CFC" w:rsidRPr="007E4663">
        <w:t xml:space="preserve"> Likewise, courts have found contracts involving lawyers </w:t>
      </w:r>
      <w:r w:rsidR="00C17CFC" w:rsidRPr="007E4663">
        <w:lastRenderedPageBreak/>
        <w:t xml:space="preserve">with concurrent conflicts of interest to be absolutely null. In </w:t>
      </w:r>
      <w:r w:rsidR="00C17CFC" w:rsidRPr="007E4663">
        <w:rPr>
          <w:rStyle w:val="Emphasis"/>
        </w:rPr>
        <w:t>Succession of Parham</w:t>
      </w:r>
      <w:r w:rsidR="00C17CFC" w:rsidRPr="007E4663">
        <w:t xml:space="preserve">, a lawyer violated Rule 1.8(c) by naming himself and his wife as legatees in a will that he drafted for a client. </w:t>
      </w:r>
      <w:r w:rsidR="00C17CFC" w:rsidRPr="007E4663">
        <w:rPr>
          <w:rStyle w:val="Emphasis"/>
        </w:rPr>
        <w:t>Succession of Parham</w:t>
      </w:r>
      <w:r w:rsidR="00C17CFC" w:rsidRPr="007E4663">
        <w:t>, 755 So. 2d 265, 270 (La. Ct. App. 1st Cir. 1999)</w:t>
      </w:r>
      <w:r w:rsidR="00C17CFC" w:rsidRPr="007E4663">
        <w:fldChar w:fldCharType="begin"/>
      </w:r>
      <w:r w:rsidR="00C17CFC" w:rsidRPr="007E4663">
        <w:instrText xml:space="preserve"> TA \s "</w:instrText>
      </w:r>
      <w:r w:rsidR="00C17CFC" w:rsidRPr="007E4663">
        <w:rPr>
          <w:i/>
          <w:iCs/>
        </w:rPr>
        <w:instrText xml:space="preserve">Succession of Parham, </w:instrText>
      </w:r>
      <w:r w:rsidR="00C17CFC" w:rsidRPr="007E4663">
        <w:instrText xml:space="preserve">755 So. 2d 265, 270 (La. Ct. App. 1st Cir. 1999)" </w:instrText>
      </w:r>
      <w:r w:rsidR="00C17CFC" w:rsidRPr="007E4663">
        <w:fldChar w:fldCharType="end"/>
      </w:r>
      <w:r w:rsidR="00C17CFC" w:rsidRPr="007E4663">
        <w:t xml:space="preserve">. Because the lawyer violated his Rule 1.8(c) duty of loyalty, the First Circuit held that the appointment of the lawyer (or his wife) as executor was an “absolutely null and void” transaction. </w:t>
      </w:r>
      <w:r w:rsidR="00C17CFC" w:rsidRPr="007E4663">
        <w:rPr>
          <w:rStyle w:val="Emphasis"/>
        </w:rPr>
        <w:t>Id.</w:t>
      </w:r>
      <w:r w:rsidR="00C17CFC" w:rsidRPr="007E4663">
        <w:t xml:space="preserve"> Said the court: a lawyer cannot “enforce or benefit from an agreement that contravenes the rules adopted by the Louisiana Supreme Court that regulate the practice of law.” </w:t>
      </w:r>
      <w:r w:rsidR="00C17CFC" w:rsidRPr="007E4663">
        <w:rPr>
          <w:rStyle w:val="Emphasis"/>
        </w:rPr>
        <w:t>Id.</w:t>
      </w:r>
    </w:p>
    <w:p w14:paraId="51D73247" w14:textId="28379220" w:rsidR="00C17CFC" w:rsidRDefault="00165C9D" w:rsidP="00165C9D">
      <w:pPr>
        <w:widowControl/>
        <w:jc w:val="both"/>
        <w:rPr>
          <w:b/>
          <w:bCs/>
          <w:iCs/>
          <w:u w:val="single"/>
        </w:rPr>
      </w:pPr>
      <w:r w:rsidRPr="00165C9D">
        <w:rPr>
          <w:b/>
          <w:bCs/>
          <w:iCs/>
          <w:u w:val="single"/>
        </w:rPr>
        <w:t>Some Lower Courts Have Allowed Fee Agreements To Be Legally Enforced Despite Violating The Rules Of Professional Conduct.</w:t>
      </w:r>
    </w:p>
    <w:p w14:paraId="15D06CA8" w14:textId="77777777" w:rsidR="00165C9D" w:rsidRPr="00165C9D" w:rsidRDefault="00165C9D" w:rsidP="00165C9D">
      <w:pPr>
        <w:widowControl/>
        <w:jc w:val="both"/>
        <w:rPr>
          <w:b/>
          <w:bCs/>
          <w:iCs/>
          <w:u w:val="single"/>
        </w:rPr>
      </w:pPr>
    </w:p>
    <w:p w14:paraId="4AD6B413" w14:textId="1AB8687A" w:rsidR="00C17CFC" w:rsidRPr="007E4663" w:rsidRDefault="00C17CFC" w:rsidP="00165C9D">
      <w:pPr>
        <w:spacing w:line="480" w:lineRule="auto"/>
        <w:ind w:firstLine="720"/>
        <w:jc w:val="both"/>
      </w:pPr>
      <w:r w:rsidRPr="007E4663">
        <w:t xml:space="preserve">Some Louisiana courts–like the Fourth Circuit in </w:t>
      </w:r>
      <w:r w:rsidR="00165C9D">
        <w:rPr>
          <w:i/>
          <w:iCs/>
        </w:rPr>
        <w:t>Spears v. Hall</w:t>
      </w:r>
      <w:r w:rsidRPr="007E4663">
        <w:t>–have permitted unethical fee-division agreements.</w:t>
      </w:r>
      <w:r w:rsidRPr="007E4663">
        <w:rPr>
          <w:rStyle w:val="FootnoteReference"/>
        </w:rPr>
        <w:footnoteReference w:id="4"/>
      </w:r>
      <w:r w:rsidRPr="007E4663">
        <w:t xml:space="preserve"> For example, the Louisiana First Circuit in </w:t>
      </w:r>
      <w:r w:rsidRPr="007E4663">
        <w:rPr>
          <w:i/>
          <w:iCs/>
        </w:rPr>
        <w:t>Scurto v. Siegrist</w:t>
      </w:r>
      <w:r w:rsidRPr="007E4663">
        <w:t>, 598 So. 2d 507, 509-10 (La. Ct. App. 1st Cir. 1992)</w:t>
      </w:r>
      <w:r w:rsidRPr="007E4663">
        <w:fldChar w:fldCharType="begin"/>
      </w:r>
      <w:r w:rsidRPr="007E4663">
        <w:instrText xml:space="preserve"> TA \1 "</w:instrText>
      </w:r>
      <w:r w:rsidRPr="007E4663">
        <w:rPr>
          <w:i/>
          <w:iCs/>
        </w:rPr>
        <w:instrText>Scurto v. Siegrist</w:instrText>
      </w:r>
      <w:r w:rsidRPr="007E4663">
        <w:instrText xml:space="preserve">, 598 So. 2d 507 (La. Ct. App. 1st Cir. 1992)" \s "Scurto v. Siegrist, 598 So. 2d 507, 509-10 (La. Ct. App. 1st Cir. 1992)" \c 1 </w:instrText>
      </w:r>
      <w:r w:rsidRPr="007E4663">
        <w:fldChar w:fldCharType="end"/>
      </w:r>
      <w:r w:rsidRPr="007E4663">
        <w:t>, held that</w:t>
      </w:r>
    </w:p>
    <w:p w14:paraId="29C72641"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where a retained attorney associates, employs or procures the employment of another attorney to assist him in handling a case involving a contingent fee, the agreement regarding division of the fee is a joint venture which gives the parties to the contract the right to participate in the fund resulting from the payment of the fee by the client.</w:t>
      </w:r>
    </w:p>
    <w:p w14:paraId="58134DEC" w14:textId="048224BA" w:rsidR="00C17CFC" w:rsidRPr="007E4663" w:rsidRDefault="00C17CFC" w:rsidP="00C17CFC">
      <w:pPr>
        <w:pStyle w:val="NoIndent"/>
        <w:jc w:val="both"/>
        <w:rPr>
          <w:rFonts w:ascii="Times New Roman" w:hAnsi="Times New Roman" w:cs="Times New Roman"/>
          <w:szCs w:val="24"/>
        </w:rPr>
      </w:pPr>
      <w:r w:rsidRPr="007E4663">
        <w:rPr>
          <w:rFonts w:ascii="Times New Roman" w:hAnsi="Times New Roman" w:cs="Times New Roman"/>
          <w:i/>
          <w:szCs w:val="24"/>
        </w:rPr>
        <w:t>Id.</w:t>
      </w:r>
      <w:r w:rsidRPr="007E4663">
        <w:rPr>
          <w:rFonts w:ascii="Times New Roman" w:hAnsi="Times New Roman" w:cs="Times New Roman"/>
          <w:szCs w:val="24"/>
        </w:rPr>
        <w:t xml:space="preserve"> Relying on pre-2004 revision case law, the First Circuit reasoned that compliance with Rule 1.5(e) is irrelevant to contract enforcement. </w:t>
      </w:r>
      <w:r w:rsidRPr="007E4663">
        <w:rPr>
          <w:rStyle w:val="Emphasis"/>
          <w:rFonts w:ascii="Times New Roman" w:hAnsi="Times New Roman" w:cs="Times New Roman"/>
          <w:szCs w:val="24"/>
        </w:rPr>
        <w:t>Id.</w:t>
      </w:r>
      <w:r w:rsidRPr="007E4663">
        <w:rPr>
          <w:rFonts w:ascii="Times New Roman" w:hAnsi="Times New Roman" w:cs="Times New Roman"/>
          <w:szCs w:val="24"/>
        </w:rPr>
        <w:t xml:space="preserve"> It, and other courts, have misapplied this court’s ruling in </w:t>
      </w:r>
      <w:r w:rsidRPr="007E4663">
        <w:rPr>
          <w:rFonts w:ascii="Times New Roman" w:hAnsi="Times New Roman" w:cs="Times New Roman"/>
          <w:i/>
          <w:iCs/>
          <w:szCs w:val="24"/>
        </w:rPr>
        <w:t xml:space="preserve">Duer v. Blanchard, Walker, </w:t>
      </w:r>
      <w:proofErr w:type="spellStart"/>
      <w:r w:rsidRPr="007E4663">
        <w:rPr>
          <w:rFonts w:ascii="Times New Roman" w:hAnsi="Times New Roman" w:cs="Times New Roman"/>
          <w:i/>
          <w:iCs/>
          <w:szCs w:val="24"/>
        </w:rPr>
        <w:t>O’Qyin</w:t>
      </w:r>
      <w:proofErr w:type="spellEnd"/>
      <w:r w:rsidRPr="007E4663">
        <w:rPr>
          <w:rFonts w:ascii="Times New Roman" w:hAnsi="Times New Roman" w:cs="Times New Roman"/>
          <w:i/>
          <w:iCs/>
          <w:szCs w:val="24"/>
        </w:rPr>
        <w:t xml:space="preserve"> &amp; Roberts, </w:t>
      </w:r>
      <w:r w:rsidRPr="007E4663">
        <w:rPr>
          <w:rFonts w:ascii="Times New Roman" w:hAnsi="Times New Roman" w:cs="Times New Roman"/>
          <w:szCs w:val="24"/>
        </w:rPr>
        <w:t>which dealt not with ethical fee sharing but the applicable prescriptive period in a suit between attorneys over a fee that they agreed to and earned, together.</w:t>
      </w:r>
      <w:r w:rsidRPr="007E4663">
        <w:rPr>
          <w:rStyle w:val="FootnoteReference"/>
          <w:rFonts w:ascii="Times New Roman" w:hAnsi="Times New Roman" w:cs="Times New Roman"/>
          <w:szCs w:val="24"/>
        </w:rPr>
        <w:footnoteReference w:id="5"/>
      </w:r>
      <w:r w:rsidRPr="007E4663">
        <w:rPr>
          <w:rFonts w:ascii="Times New Roman" w:hAnsi="Times New Roman" w:cs="Times New Roman"/>
          <w:szCs w:val="24"/>
        </w:rPr>
        <w:t xml:space="preserve"> In that case, without mentioning Rule 1.5(e),</w:t>
      </w:r>
      <w:r w:rsidR="00165C9D">
        <w:rPr>
          <w:rFonts w:ascii="Times New Roman" w:hAnsi="Times New Roman" w:cs="Times New Roman"/>
          <w:szCs w:val="24"/>
        </w:rPr>
        <w:t xml:space="preserve"> the Louisiana Supreme</w:t>
      </w:r>
      <w:r w:rsidRPr="007E4663">
        <w:rPr>
          <w:rFonts w:ascii="Times New Roman" w:hAnsi="Times New Roman" w:cs="Times New Roman"/>
          <w:szCs w:val="24"/>
        </w:rPr>
        <w:t xml:space="preserve"> Court found the action enjoyed the longer, ten-year liberative prescription because the underlying action was a “joint venture.”</w:t>
      </w:r>
      <w:r w:rsidRPr="007E4663">
        <w:rPr>
          <w:rStyle w:val="FootnoteReference"/>
          <w:rFonts w:ascii="Times New Roman" w:hAnsi="Times New Roman" w:cs="Times New Roman"/>
          <w:szCs w:val="24"/>
        </w:rPr>
        <w:footnoteReference w:id="6"/>
      </w:r>
      <w:r w:rsidRPr="007E4663">
        <w:rPr>
          <w:rFonts w:ascii="Times New Roman" w:hAnsi="Times New Roman" w:cs="Times New Roman"/>
          <w:szCs w:val="24"/>
        </w:rPr>
        <w:t xml:space="preserve"> </w:t>
      </w:r>
    </w:p>
    <w:p w14:paraId="77A14D6B" w14:textId="0A60B55E" w:rsidR="00C17CFC" w:rsidRPr="007E4663" w:rsidRDefault="00C17CFC" w:rsidP="00165C9D">
      <w:pPr>
        <w:spacing w:line="480" w:lineRule="auto"/>
        <w:ind w:firstLine="720"/>
        <w:jc w:val="both"/>
      </w:pPr>
      <w:r w:rsidRPr="007E4663">
        <w:t>The Fourth Circuit, in</w:t>
      </w:r>
      <w:r w:rsidRPr="007E4663">
        <w:rPr>
          <w:i/>
          <w:iCs/>
        </w:rPr>
        <w:t xml:space="preserve"> Thomas v. B.J. Titan Services Co</w:t>
      </w:r>
      <w:r w:rsidRPr="007E4663">
        <w:t>., 675 So. 2d 747, 750 (La. App. 4th Cir. 1996)</w:t>
      </w:r>
      <w:r w:rsidRPr="007E4663">
        <w:fldChar w:fldCharType="begin"/>
      </w:r>
      <w:r w:rsidRPr="007E4663">
        <w:instrText xml:space="preserve"> TA \l "</w:instrText>
      </w:r>
      <w:r w:rsidRPr="007E4663">
        <w:rPr>
          <w:i/>
          <w:iCs/>
        </w:rPr>
        <w:instrText>Thomas v. B.J. Titan Services Co</w:instrText>
      </w:r>
      <w:r w:rsidRPr="007E4663">
        <w:instrText xml:space="preserve">., 675 So. 2d 747 (La. Ct. App. 4th Cir. 1996)" \s "Thomas v. B.J. Titan Services Co., 675 So. 2d 747, 750 (La. Ct. App. 4th Cir. 1996)" \c 1 </w:instrText>
      </w:r>
      <w:r w:rsidRPr="007E4663">
        <w:fldChar w:fldCharType="end"/>
      </w:r>
      <w:r w:rsidRPr="007E4663">
        <w:t>, found that “[t]he Rules of Professional Responsibility are designed primarily to protect clients from unscrupulous attorneys.”</w:t>
      </w:r>
      <w:r w:rsidRPr="007E4663">
        <w:rPr>
          <w:rStyle w:val="FootnoteReference"/>
        </w:rPr>
        <w:footnoteReference w:id="7"/>
      </w:r>
      <w:r w:rsidRPr="007E4663">
        <w:t xml:space="preserve"> The court then found that “the governing principle </w:t>
      </w:r>
      <w:r w:rsidRPr="007E4663">
        <w:lastRenderedPageBreak/>
        <w:t xml:space="preserve">is the nature of the agreement or contract between” the lawyers, and proceeded to enforce an oral fee-division agreement. </w:t>
      </w:r>
      <w:r w:rsidRPr="007E4663">
        <w:rPr>
          <w:rStyle w:val="ReLineChar"/>
          <w:rFonts w:eastAsiaTheme="minorHAnsi"/>
          <w:sz w:val="24"/>
          <w:szCs w:val="24"/>
        </w:rPr>
        <w:t>See id</w:t>
      </w:r>
      <w:r w:rsidRPr="007E4663">
        <w:t xml:space="preserve">. at 750. The Fourth Circuit again rejected the notion that unethical fee-division agreements should be unenforceable in </w:t>
      </w:r>
      <w:r w:rsidRPr="007E4663">
        <w:rPr>
          <w:i/>
          <w:iCs/>
        </w:rPr>
        <w:t>Fox v. Heisler</w:t>
      </w:r>
      <w:r w:rsidRPr="007E4663">
        <w:t>, 874 So. 2d 932 (La. App. 4th Cir. 2004)</w:t>
      </w:r>
      <w:r w:rsidRPr="007E4663">
        <w:fldChar w:fldCharType="begin"/>
      </w:r>
      <w:r w:rsidRPr="007E4663">
        <w:instrText xml:space="preserve"> TA \l "</w:instrText>
      </w:r>
      <w:r w:rsidRPr="007E4663">
        <w:rPr>
          <w:i/>
          <w:iCs/>
        </w:rPr>
        <w:instrText>Fox v. Heisler</w:instrText>
      </w:r>
      <w:r w:rsidRPr="007E4663">
        <w:instrText xml:space="preserve">, 874 So. 2d 932 (La. Ct. App. 4th Cir. 2004)" \s "Fox v. Heisler, 874 So. 2d 932 (La. Ct. App. 4th Cir. 2004)" \c 1 </w:instrText>
      </w:r>
      <w:r w:rsidRPr="007E4663">
        <w:fldChar w:fldCharType="end"/>
      </w:r>
      <w:r w:rsidRPr="007E4663">
        <w:t>:</w:t>
      </w:r>
    </w:p>
    <w:p w14:paraId="0223F74A"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[W]</w:t>
      </w:r>
      <w:proofErr w:type="spellStart"/>
      <w:r w:rsidRPr="007E4663">
        <w:rPr>
          <w:rFonts w:ascii="Times New Roman" w:hAnsi="Times New Roman" w:cs="Times New Roman"/>
          <w:szCs w:val="24"/>
        </w:rPr>
        <w:t>hile</w:t>
      </w:r>
      <w:proofErr w:type="spellEnd"/>
      <w:r w:rsidRPr="007E4663">
        <w:rPr>
          <w:rFonts w:ascii="Times New Roman" w:hAnsi="Times New Roman" w:cs="Times New Roman"/>
          <w:szCs w:val="24"/>
        </w:rPr>
        <w:t xml:space="preserve"> we agree with Plaintiff that the cases on which he relies are persuasive in establishing a public policy may well be served by finding oral [fee-division agreements] unenforceable under certain conditions, the thirteen-year history of events cataloged in the record do not establish contravention of any public policy.</w:t>
      </w:r>
    </w:p>
    <w:p w14:paraId="38D27746" w14:textId="77777777" w:rsidR="00C17CFC" w:rsidRPr="007E4663" w:rsidRDefault="00C17CFC" w:rsidP="00C17CFC">
      <w:pPr>
        <w:pStyle w:val="NoIndent"/>
        <w:jc w:val="both"/>
        <w:rPr>
          <w:rFonts w:ascii="Times New Roman" w:hAnsi="Times New Roman" w:cs="Times New Roman"/>
          <w:szCs w:val="24"/>
        </w:rPr>
      </w:pPr>
      <w:r w:rsidRPr="007E4663">
        <w:rPr>
          <w:rStyle w:val="ReLineChar"/>
          <w:rFonts w:ascii="Times New Roman" w:eastAsiaTheme="minorHAnsi" w:hAnsi="Times New Roman"/>
          <w:sz w:val="24"/>
          <w:szCs w:val="24"/>
        </w:rPr>
        <w:t>Id</w:t>
      </w:r>
      <w:r w:rsidRPr="007E4663">
        <w:rPr>
          <w:rFonts w:ascii="Times New Roman" w:hAnsi="Times New Roman" w:cs="Times New Roman"/>
          <w:szCs w:val="24"/>
        </w:rPr>
        <w:t xml:space="preserve">. at 938. More recently, the Fourth Circuit in </w:t>
      </w:r>
      <w:r w:rsidRPr="007E4663">
        <w:rPr>
          <w:rFonts w:ascii="Times New Roman" w:hAnsi="Times New Roman" w:cs="Times New Roman"/>
          <w:i/>
          <w:iCs/>
          <w:szCs w:val="24"/>
        </w:rPr>
        <w:t>Wooten &amp; Saunders v. Diaz</w:t>
      </w:r>
      <w:r w:rsidRPr="007E4663">
        <w:rPr>
          <w:rFonts w:ascii="Times New Roman" w:hAnsi="Times New Roman" w:cs="Times New Roman"/>
          <w:szCs w:val="24"/>
        </w:rPr>
        <w:t>, 317 So. 3d 390, 398 (La. Ct. App. 4th Cir. 2018)</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iCs/>
          <w:szCs w:val="24"/>
        </w:rPr>
        <w:instrText>Wooten &amp; Saunders v. Diaz</w:instrText>
      </w:r>
      <w:r w:rsidRPr="007E4663">
        <w:rPr>
          <w:rFonts w:ascii="Times New Roman" w:hAnsi="Times New Roman" w:cs="Times New Roman"/>
          <w:szCs w:val="24"/>
        </w:rPr>
        <w:instrText xml:space="preserve">, 317 So. 3d 390 (La. Ct. App. 4th Cir. 2018)" \s "Wooten &amp; Saunders v. Diaz, 317 So. 3d 390, 398 (La. Ct. App. 4th Cir. 2018)" \c 1 </w:instrText>
      </w:r>
      <w:r w:rsidRPr="007E4663">
        <w:rPr>
          <w:rFonts w:ascii="Times New Roman" w:hAnsi="Times New Roman" w:cs="Times New Roman"/>
          <w:szCs w:val="24"/>
        </w:rPr>
        <w:fldChar w:fldCharType="end"/>
      </w:r>
      <w:r w:rsidRPr="007E4663">
        <w:rPr>
          <w:rFonts w:ascii="Times New Roman" w:hAnsi="Times New Roman" w:cs="Times New Roman"/>
          <w:szCs w:val="24"/>
        </w:rPr>
        <w:t>, held that violations of the Rules of Professional Conduct do not “preclude attorneys with whom they have contracted from recovering an earned fee.” Indeed, the court concluded that there is:</w:t>
      </w:r>
    </w:p>
    <w:p w14:paraId="7D368468"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no jurisprudential or statutory support for [the] position that an alleged violation of the Rules of Professional Conduct can be used to bar an alleged infracting attorney from recovering his or her fee in a breach of contract dispute involving a fee-splitting agreement.</w:t>
      </w:r>
    </w:p>
    <w:p w14:paraId="2F8281AB" w14:textId="2C9FE6DB" w:rsidR="00C17CFC" w:rsidRPr="007E4663" w:rsidRDefault="00C17CFC" w:rsidP="00C17CFC">
      <w:pPr>
        <w:pStyle w:val="NoIndent"/>
        <w:jc w:val="both"/>
        <w:rPr>
          <w:rFonts w:ascii="Times New Roman" w:hAnsi="Times New Roman" w:cs="Times New Roman"/>
          <w:szCs w:val="24"/>
        </w:rPr>
      </w:pPr>
      <w:r w:rsidRPr="007E4663">
        <w:rPr>
          <w:rFonts w:ascii="Times New Roman" w:hAnsi="Times New Roman" w:cs="Times New Roman"/>
          <w:i/>
          <w:iCs/>
          <w:szCs w:val="24"/>
        </w:rPr>
        <w:t>Id.</w:t>
      </w:r>
      <w:r w:rsidRPr="007E4663">
        <w:rPr>
          <w:rFonts w:ascii="Times New Roman" w:hAnsi="Times New Roman" w:cs="Times New Roman"/>
          <w:szCs w:val="24"/>
        </w:rPr>
        <w:t xml:space="preserve"> at 399; </w:t>
      </w:r>
      <w:r w:rsidRPr="007E4663">
        <w:rPr>
          <w:rFonts w:ascii="Times New Roman" w:hAnsi="Times New Roman" w:cs="Times New Roman"/>
          <w:i/>
          <w:iCs/>
          <w:szCs w:val="24"/>
        </w:rPr>
        <w:t>see also Raspanti v. Litchfield</w:t>
      </w:r>
      <w:r w:rsidRPr="007E4663">
        <w:rPr>
          <w:rFonts w:ascii="Times New Roman" w:hAnsi="Times New Roman" w:cs="Times New Roman"/>
          <w:szCs w:val="24"/>
        </w:rPr>
        <w:t>, 220 WL 710812 *13-*15 (La. App. 4th Cir. Feb. 12, 2020)</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iCs/>
          <w:szCs w:val="24"/>
        </w:rPr>
        <w:instrText>Raspanti v. Litchfield</w:instrText>
      </w:r>
      <w:r w:rsidRPr="007E4663">
        <w:rPr>
          <w:rFonts w:ascii="Times New Roman" w:hAnsi="Times New Roman" w:cs="Times New Roman"/>
          <w:szCs w:val="24"/>
        </w:rPr>
        <w:instrText xml:space="preserve">, 220 WL 710812 (La. Ct. App. 4th Cir. Feb. 12, 2020)" \s "Raspanti v. Litchfield, 220 WL 710812 *13-*15 (La. Ct. App. 4th Cir. Feb. 12, 2020)" \c 1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(citing </w:t>
      </w:r>
      <w:r w:rsidRPr="007E4663">
        <w:rPr>
          <w:rFonts w:ascii="Times New Roman" w:hAnsi="Times New Roman" w:cs="Times New Roman"/>
          <w:i/>
          <w:iCs/>
          <w:szCs w:val="24"/>
        </w:rPr>
        <w:t>Scurto</w:t>
      </w:r>
      <w:r w:rsidRPr="007E4663">
        <w:rPr>
          <w:rFonts w:ascii="Times New Roman" w:hAnsi="Times New Roman" w:cs="Times New Roman"/>
          <w:szCs w:val="24"/>
        </w:rPr>
        <w:t xml:space="preserve">, </w:t>
      </w:r>
      <w:r w:rsidRPr="007E4663">
        <w:rPr>
          <w:rFonts w:ascii="Times New Roman" w:hAnsi="Times New Roman" w:cs="Times New Roman"/>
          <w:i/>
          <w:iCs/>
          <w:szCs w:val="24"/>
        </w:rPr>
        <w:t>Duer</w:t>
      </w:r>
      <w:r w:rsidRPr="007E4663">
        <w:rPr>
          <w:rFonts w:ascii="Times New Roman" w:hAnsi="Times New Roman" w:cs="Times New Roman"/>
          <w:szCs w:val="24"/>
        </w:rPr>
        <w:t xml:space="preserve">, and </w:t>
      </w:r>
      <w:r w:rsidRPr="007E4663">
        <w:rPr>
          <w:rFonts w:ascii="Times New Roman" w:hAnsi="Times New Roman" w:cs="Times New Roman"/>
          <w:i/>
          <w:iCs/>
          <w:szCs w:val="24"/>
        </w:rPr>
        <w:t>Wooten</w:t>
      </w:r>
      <w:r w:rsidRPr="007E4663">
        <w:rPr>
          <w:rFonts w:ascii="Times New Roman" w:hAnsi="Times New Roman" w:cs="Times New Roman"/>
          <w:szCs w:val="24"/>
        </w:rPr>
        <w:t xml:space="preserve"> </w:t>
      </w:r>
      <w:r w:rsidRPr="007E4663">
        <w:rPr>
          <w:rFonts w:ascii="Times New Roman" w:hAnsi="Times New Roman" w:cs="Times New Roman"/>
          <w:i/>
          <w:iCs/>
          <w:szCs w:val="24"/>
        </w:rPr>
        <w:t>&amp; Saunders</w:t>
      </w:r>
      <w:r w:rsidRPr="007E4663">
        <w:rPr>
          <w:rFonts w:ascii="Times New Roman" w:hAnsi="Times New Roman" w:cs="Times New Roman"/>
          <w:szCs w:val="24"/>
        </w:rPr>
        <w:t xml:space="preserve"> for proposition that “alleged Rules Professional Conduct violations” do not “preclude attorneys with whom they have contracted from recovering an earned fee”); </w:t>
      </w:r>
      <w:r w:rsidRPr="007E4663">
        <w:rPr>
          <w:rFonts w:ascii="Times New Roman" w:hAnsi="Times New Roman" w:cs="Times New Roman"/>
          <w:i/>
          <w:iCs/>
          <w:szCs w:val="24"/>
        </w:rPr>
        <w:t>see also</w:t>
      </w:r>
      <w:r w:rsidRPr="007E4663">
        <w:rPr>
          <w:rFonts w:ascii="Times New Roman" w:hAnsi="Times New Roman" w:cs="Times New Roman"/>
          <w:szCs w:val="24"/>
        </w:rPr>
        <w:t xml:space="preserve"> Validity and Enforceability of Express Fee-Splitting Agreements Between Counsel, 11 A.L.R. 6th 587, § 15</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"Validity and Enforceability of Express Fee-Splitting Agreements Between Counsel, 11 A.L.R. 6th 587, § 15" \s "Validity and Enforceability of Express Fee-Splitting Agreements Between Counsel, 11 A.L.R. 6th 587, § 15" \c 3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(citing </w:t>
      </w:r>
      <w:r w:rsidRPr="007E4663">
        <w:rPr>
          <w:rFonts w:ascii="Times New Roman" w:hAnsi="Times New Roman" w:cs="Times New Roman"/>
          <w:i/>
          <w:iCs/>
          <w:szCs w:val="24"/>
        </w:rPr>
        <w:t xml:space="preserve">Wooten &amp; Saunders </w:t>
      </w:r>
      <w:r w:rsidRPr="007E4663">
        <w:rPr>
          <w:rFonts w:ascii="Times New Roman" w:hAnsi="Times New Roman" w:cs="Times New Roman"/>
          <w:szCs w:val="24"/>
        </w:rPr>
        <w:t>for proposition that “rule of professional conduct prohibiting an attorney’s representation of clients with a concurrent conflict of interest did not prohibit law firm from enforcing fee-splitting agreement”).</w:t>
      </w:r>
    </w:p>
    <w:p w14:paraId="664B9D08" w14:textId="0C1D2CF1" w:rsidR="00C17CFC" w:rsidRDefault="00C17CFC" w:rsidP="009D5A80">
      <w:pPr>
        <w:spacing w:line="480" w:lineRule="auto"/>
        <w:ind w:firstLine="720"/>
        <w:jc w:val="both"/>
      </w:pPr>
      <w:r w:rsidRPr="007E4663">
        <w:t xml:space="preserve">Finally, the First Circuit in </w:t>
      </w:r>
      <w:r w:rsidRPr="007E4663">
        <w:rPr>
          <w:i/>
        </w:rPr>
        <w:t>Jumonville v. Cardenas</w:t>
      </w:r>
      <w:r w:rsidRPr="007E4663">
        <w:t>, 2013 WL 6506205 (La. App. 1st Cir. 2013)</w:t>
      </w:r>
      <w:r w:rsidRPr="007E4663">
        <w:fldChar w:fldCharType="begin"/>
      </w:r>
      <w:r w:rsidRPr="007E4663">
        <w:instrText xml:space="preserve"> TA \l "</w:instrText>
      </w:r>
      <w:r w:rsidRPr="007E4663">
        <w:rPr>
          <w:i/>
        </w:rPr>
        <w:instrText>Jumonville v. Cardenas</w:instrText>
      </w:r>
      <w:r w:rsidRPr="007E4663">
        <w:instrText xml:space="preserve">, 2013 WL 6506205 (La. Ct. App. 1st Cir. 2013)" \s "Jumonville v. Cardenas, 2013 WL 6506205 (La. Ct. App. 1st Cir. 2013)" \c 1 </w:instrText>
      </w:r>
      <w:r w:rsidRPr="007E4663">
        <w:fldChar w:fldCharType="end"/>
      </w:r>
      <w:r w:rsidRPr="007E4663">
        <w:t xml:space="preserve"> exempted unethical lawyer-lawyer agreements from judicial review. Said the court: “the Rules of Professional Conduct do not regulate or prohibit the enforcement of an agreement between attorneys.” </w:t>
      </w:r>
      <w:r w:rsidRPr="007E4663">
        <w:rPr>
          <w:i/>
        </w:rPr>
        <w:t>See id.</w:t>
      </w:r>
      <w:r w:rsidRPr="007E4663">
        <w:t xml:space="preserve"> at *5 (citing </w:t>
      </w:r>
      <w:r w:rsidRPr="007E4663">
        <w:rPr>
          <w:i/>
        </w:rPr>
        <w:t>Fox</w:t>
      </w:r>
      <w:r w:rsidRPr="007E4663">
        <w:t xml:space="preserve"> and </w:t>
      </w:r>
      <w:r w:rsidRPr="007E4663">
        <w:rPr>
          <w:i/>
        </w:rPr>
        <w:t>Scurto</w:t>
      </w:r>
      <w:r w:rsidRPr="007E4663">
        <w:t xml:space="preserve">); </w:t>
      </w:r>
      <w:proofErr w:type="spellStart"/>
      <w:r w:rsidRPr="007E4663">
        <w:t>Adrejia</w:t>
      </w:r>
      <w:proofErr w:type="spellEnd"/>
      <w:r w:rsidRPr="007E4663">
        <w:t xml:space="preserve"> L.A. Swafford, </w:t>
      </w:r>
      <w:r w:rsidRPr="007E4663">
        <w:rPr>
          <w:i/>
          <w:iCs/>
        </w:rPr>
        <w:t>Practice Tips: A Written Contract is #Everything,</w:t>
      </w:r>
      <w:r w:rsidRPr="007E4663">
        <w:t xml:space="preserve"> 64 La. Bar J. 414, 416 (2017)</w:t>
      </w:r>
      <w:r w:rsidRPr="007E4663">
        <w:fldChar w:fldCharType="begin"/>
      </w:r>
      <w:r w:rsidRPr="007E4663">
        <w:instrText xml:space="preserve"> TA \l "Adrejia L.A. Swafford, </w:instrText>
      </w:r>
      <w:r w:rsidRPr="007E4663">
        <w:rPr>
          <w:i/>
          <w:iCs/>
        </w:rPr>
        <w:instrText>Practice Tips: A Written Contract is #Everything,</w:instrText>
      </w:r>
      <w:r w:rsidRPr="007E4663">
        <w:instrText xml:space="preserve"> 64 La. Bar J. 414 (2017)" \s "Adrejia L.A. Swafford, Practice Tips: A Written Contract is #Everything, 64 La. Bar J. 414, 416 (2017)" \c 3 </w:instrText>
      </w:r>
      <w:r w:rsidRPr="007E4663">
        <w:fldChar w:fldCharType="end"/>
      </w:r>
      <w:r w:rsidRPr="007E4663">
        <w:t xml:space="preserve"> (citing </w:t>
      </w:r>
      <w:r w:rsidRPr="007E4663">
        <w:rPr>
          <w:i/>
          <w:iCs/>
        </w:rPr>
        <w:t>Jumonville</w:t>
      </w:r>
      <w:r w:rsidRPr="007E4663">
        <w:t xml:space="preserve"> for proposition that the Rules of Professional Conduct “do not regulate or prohibit” enforcing unethical fee agreements between lawyers).</w:t>
      </w:r>
      <w:r w:rsidRPr="007E4663">
        <w:rPr>
          <w:rStyle w:val="FootnoteReference"/>
        </w:rPr>
        <w:footnoteReference w:id="8"/>
      </w:r>
      <w:r w:rsidRPr="007E4663">
        <w:t xml:space="preserve"> </w:t>
      </w:r>
      <w:r w:rsidRPr="007E4663">
        <w:rPr>
          <w:i/>
          <w:iCs/>
        </w:rPr>
        <w:t xml:space="preserve">See also Brown v. </w:t>
      </w:r>
      <w:proofErr w:type="spellStart"/>
      <w:r w:rsidRPr="007E4663">
        <w:rPr>
          <w:i/>
          <w:iCs/>
        </w:rPr>
        <w:t>Seimers</w:t>
      </w:r>
      <w:proofErr w:type="spellEnd"/>
      <w:r w:rsidRPr="007E4663">
        <w:t>, 726 So. 2d 1018, 1020 (La. App. 1st Cir. 1999)</w:t>
      </w:r>
      <w:r w:rsidRPr="007E4663">
        <w:fldChar w:fldCharType="begin"/>
      </w:r>
      <w:r w:rsidRPr="007E4663">
        <w:instrText xml:space="preserve"> TA \l "</w:instrText>
      </w:r>
      <w:r w:rsidRPr="007E4663">
        <w:rPr>
          <w:i/>
          <w:iCs/>
        </w:rPr>
        <w:instrText>Brown v. Seimers</w:instrText>
      </w:r>
      <w:r w:rsidRPr="007E4663">
        <w:instrText xml:space="preserve">, 726 So. 2d 1018 (La. Ct. App. 1st Cir. 1999)" \s "Brown v. Seimers, 726 So. 2d 1018, 1020 (La. Ct. App. 1st Cir. 1999)" \c 1 </w:instrText>
      </w:r>
      <w:r w:rsidRPr="007E4663">
        <w:fldChar w:fldCharType="end"/>
      </w:r>
      <w:r w:rsidRPr="007E4663">
        <w:t xml:space="preserve"> (holding that an alleged violation of the Louisiana Rules of Professional Conduct “should be raised with the Bar Association” [sic] and is irrelevant “in the context of an attorney’s fee dispute”). </w:t>
      </w:r>
    </w:p>
    <w:p w14:paraId="1D07E223" w14:textId="5144E0C1" w:rsidR="009D5A80" w:rsidRPr="009D5A80" w:rsidRDefault="009D5A80" w:rsidP="009D5A80">
      <w:pPr>
        <w:spacing w:line="480" w:lineRule="auto"/>
        <w:jc w:val="both"/>
        <w:rPr>
          <w:b/>
          <w:bCs/>
          <w:iCs/>
          <w:u w:val="single"/>
        </w:rPr>
      </w:pPr>
      <w:r>
        <w:rPr>
          <w:b/>
          <w:bCs/>
          <w:u w:val="single"/>
        </w:rPr>
        <w:t>Other Courts Have Refused To Enforce Contracts That Violate Rule 1.5.</w:t>
      </w:r>
    </w:p>
    <w:p w14:paraId="1D4A69EC" w14:textId="3A951BEE" w:rsidR="00C17CFC" w:rsidRPr="007E4663" w:rsidRDefault="00C17CFC" w:rsidP="009D5A80">
      <w:pPr>
        <w:spacing w:line="480" w:lineRule="auto"/>
        <w:ind w:firstLine="720"/>
        <w:jc w:val="both"/>
      </w:pPr>
      <w:r w:rsidRPr="007E4663">
        <w:t xml:space="preserve">Other Louisiana courts, however, have refused to enforce fee-division agreements that violate Rule 1.5(e). For example, in </w:t>
      </w:r>
      <w:r w:rsidRPr="007E4663">
        <w:rPr>
          <w:i/>
          <w:iCs/>
        </w:rPr>
        <w:t>Adams v. Med-Force</w:t>
      </w:r>
      <w:r w:rsidRPr="007E4663">
        <w:t>, 682 So. 2d 323, 325 (La. App. 4th Cir. 1996)</w:t>
      </w:r>
      <w:r w:rsidRPr="007E4663">
        <w:fldChar w:fldCharType="begin"/>
      </w:r>
      <w:r w:rsidRPr="007E4663">
        <w:instrText xml:space="preserve"> TA \l "</w:instrText>
      </w:r>
      <w:r w:rsidRPr="007E4663">
        <w:rPr>
          <w:i/>
          <w:iCs/>
        </w:rPr>
        <w:instrText>Adams v. Med-Force</w:instrText>
      </w:r>
      <w:r w:rsidRPr="007E4663">
        <w:instrText xml:space="preserve">, 682 So. 2d 323 (La. Ct. App. 4th Cir. 1996)" \s "Adams v. Med-Force, 682 So. 2d 323, 325 (La. Ct. App. 4th Cir. 1996)" \c 1 </w:instrText>
      </w:r>
      <w:r w:rsidRPr="007E4663">
        <w:fldChar w:fldCharType="end"/>
      </w:r>
      <w:r w:rsidRPr="007E4663">
        <w:t>, the Fourth Circuit considered the enforceability of an agreement between then-lawyer (now convicted felon) Alan Green and Ernest Caulfield to divide a contingent fee. Because the lawyers’ agreement did not comply with Rule 1.5(e), the court refused to enforce it:</w:t>
      </w:r>
    </w:p>
    <w:p w14:paraId="4ACE3469"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Under the circumstances and in accordance with Rule 1.5 of the Rules of Professional Conduct and the jurisprudence, Green is clearly barred from enforcing the agreement to share the contingency fee equally.</w:t>
      </w:r>
    </w:p>
    <w:p w14:paraId="79730DE5" w14:textId="729F807A" w:rsidR="00C17CFC" w:rsidRPr="007E4663" w:rsidRDefault="00C17CFC" w:rsidP="009D5A80">
      <w:pPr>
        <w:pStyle w:val="NoIndent"/>
        <w:rPr>
          <w:rFonts w:ascii="Times New Roman" w:hAnsi="Times New Roman" w:cs="Times New Roman"/>
          <w:szCs w:val="24"/>
        </w:rPr>
      </w:pPr>
      <w:r w:rsidRPr="007E4663">
        <w:rPr>
          <w:rFonts w:ascii="Times New Roman" w:hAnsi="Times New Roman" w:cs="Times New Roman"/>
          <w:i/>
          <w:szCs w:val="24"/>
        </w:rPr>
        <w:t>See id</w:t>
      </w:r>
      <w:r w:rsidRPr="007E4663">
        <w:rPr>
          <w:rFonts w:ascii="Times New Roman" w:hAnsi="Times New Roman" w:cs="Times New Roman"/>
          <w:szCs w:val="24"/>
        </w:rPr>
        <w:t>. at 325.</w:t>
      </w:r>
      <w:r w:rsidR="009D5A80">
        <w:rPr>
          <w:rFonts w:ascii="Times New Roman" w:hAnsi="Times New Roman" w:cs="Times New Roman"/>
          <w:szCs w:val="24"/>
        </w:rPr>
        <w:t xml:space="preserve">  </w:t>
      </w:r>
      <w:r w:rsidRPr="007E4663">
        <w:rPr>
          <w:rFonts w:ascii="Times New Roman" w:hAnsi="Times New Roman" w:cs="Times New Roman"/>
          <w:szCs w:val="24"/>
        </w:rPr>
        <w:t xml:space="preserve">Likewise, the Louisiana Fifth Circuit, in </w:t>
      </w:r>
      <w:r w:rsidRPr="007E4663">
        <w:rPr>
          <w:rFonts w:ascii="Times New Roman" w:hAnsi="Times New Roman" w:cs="Times New Roman"/>
          <w:i/>
          <w:iCs/>
          <w:szCs w:val="24"/>
        </w:rPr>
        <w:t>Bertucci v. McIntire</w:t>
      </w:r>
      <w:r w:rsidRPr="007E4663">
        <w:rPr>
          <w:rFonts w:ascii="Times New Roman" w:hAnsi="Times New Roman" w:cs="Times New Roman"/>
          <w:szCs w:val="24"/>
        </w:rPr>
        <w:t>, 693 So. 2d 7, 9 (La. App. 5th Cir. 1997)</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iCs/>
          <w:szCs w:val="24"/>
        </w:rPr>
        <w:instrText>Bertucci v. McIntire</w:instrText>
      </w:r>
      <w:r w:rsidRPr="007E4663">
        <w:rPr>
          <w:rFonts w:ascii="Times New Roman" w:hAnsi="Times New Roman" w:cs="Times New Roman"/>
          <w:szCs w:val="24"/>
        </w:rPr>
        <w:instrText xml:space="preserve">, 693 So. 2d 7 (La. Ct. App. 5th Cir. 1997)" \s "Bertucci v. McIntire, 693 So. 2d 7, 9 (La. Ct. App. 5th Cir. 1997)" \c 1 </w:instrText>
      </w:r>
      <w:r w:rsidRPr="007E4663">
        <w:rPr>
          <w:rFonts w:ascii="Times New Roman" w:hAnsi="Times New Roman" w:cs="Times New Roman"/>
          <w:szCs w:val="24"/>
        </w:rPr>
        <w:fldChar w:fldCharType="end"/>
      </w:r>
      <w:r w:rsidRPr="007E4663">
        <w:rPr>
          <w:rFonts w:ascii="Times New Roman" w:hAnsi="Times New Roman" w:cs="Times New Roman"/>
          <w:szCs w:val="24"/>
        </w:rPr>
        <w:t>, held that a percentage-based fee-division agreement that violates Rule 1.5(e) cannot be enforced:</w:t>
      </w:r>
    </w:p>
    <w:p w14:paraId="4DE8F5CA"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Since the fee splitting agreement was not in writing Art. 16, Rule 1.5(e)(1) of the Rules of Professional Conduct requires that the division of the fee must be in proportion to the services performed.</w:t>
      </w:r>
    </w:p>
    <w:p w14:paraId="7D2A19ED" w14:textId="77777777" w:rsidR="00C17CFC" w:rsidRPr="007E4663" w:rsidRDefault="00C17CFC" w:rsidP="00C17CFC">
      <w:pPr>
        <w:pStyle w:val="NoIndent"/>
        <w:rPr>
          <w:rFonts w:ascii="Times New Roman" w:hAnsi="Times New Roman" w:cs="Times New Roman"/>
          <w:szCs w:val="24"/>
        </w:rPr>
      </w:pPr>
      <w:r w:rsidRPr="007E4663">
        <w:rPr>
          <w:rFonts w:ascii="Times New Roman" w:hAnsi="Times New Roman" w:cs="Times New Roman"/>
          <w:i/>
          <w:szCs w:val="24"/>
        </w:rPr>
        <w:t>Id</w:t>
      </w:r>
      <w:r w:rsidRPr="007E4663">
        <w:rPr>
          <w:rFonts w:ascii="Times New Roman" w:hAnsi="Times New Roman" w:cs="Times New Roman"/>
          <w:szCs w:val="24"/>
        </w:rPr>
        <w:t xml:space="preserve">. at 9. </w:t>
      </w:r>
    </w:p>
    <w:p w14:paraId="5331873E" w14:textId="6ED2FB5E" w:rsidR="00C17CFC" w:rsidRPr="007E4663" w:rsidRDefault="00C17CFC" w:rsidP="009D5A80">
      <w:pPr>
        <w:spacing w:line="480" w:lineRule="auto"/>
        <w:ind w:firstLine="720"/>
        <w:jc w:val="both"/>
      </w:pPr>
      <w:r w:rsidRPr="007E4663">
        <w:t xml:space="preserve">Finally, the Louisiana First Circuit in </w:t>
      </w:r>
      <w:r w:rsidRPr="007E4663">
        <w:rPr>
          <w:i/>
          <w:iCs/>
        </w:rPr>
        <w:t>Dukes v. Matheny</w:t>
      </w:r>
      <w:r w:rsidRPr="007E4663">
        <w:t>, 878 So. 2d 517, 520-21</w:t>
      </w:r>
      <w:r w:rsidR="009D5A80">
        <w:t xml:space="preserve"> </w:t>
      </w:r>
      <w:r w:rsidRPr="007E4663">
        <w:t>(La. App. 1st Cir. 2004)</w:t>
      </w:r>
      <w:r w:rsidRPr="007E4663">
        <w:fldChar w:fldCharType="begin"/>
      </w:r>
      <w:r w:rsidRPr="007E4663">
        <w:instrText xml:space="preserve"> TA \l "</w:instrText>
      </w:r>
      <w:r w:rsidRPr="007E4663">
        <w:rPr>
          <w:i/>
          <w:iCs/>
        </w:rPr>
        <w:instrText>Dukes v. Matheny</w:instrText>
      </w:r>
      <w:r w:rsidRPr="007E4663">
        <w:instrText xml:space="preserve">, 878 So. 2d 517 (La. Ct. App. 1st Cir. 2004)" \s "Dukes v. Matheny, 878 So. 2d 517, 520-21(La. Ct. App. 1st Cir. 2004)" \c 1 </w:instrText>
      </w:r>
      <w:r w:rsidRPr="007E4663">
        <w:fldChar w:fldCharType="end"/>
      </w:r>
      <w:r w:rsidRPr="007E4663">
        <w:t>, reversed the trial court’s fee-division order because “[i]n making its award, the trial court apparently found that an oral agreement existed . . . for a 50 percent referral fee” in violation of Rule 1.5(e). The court held:</w:t>
      </w:r>
    </w:p>
    <w:p w14:paraId="2E1E2FF7" w14:textId="77777777" w:rsidR="00C17CFC" w:rsidRPr="007E4663" w:rsidRDefault="00C17CFC" w:rsidP="00C17CFC">
      <w:pPr>
        <w:pStyle w:val="Quote"/>
        <w:jc w:val="both"/>
        <w:rPr>
          <w:rFonts w:ascii="Times New Roman" w:hAnsi="Times New Roman" w:cs="Times New Roman"/>
          <w:szCs w:val="24"/>
        </w:rPr>
      </w:pPr>
      <w:r w:rsidRPr="007E4663">
        <w:rPr>
          <w:rFonts w:ascii="Times New Roman" w:hAnsi="Times New Roman" w:cs="Times New Roman"/>
          <w:szCs w:val="24"/>
        </w:rPr>
        <w:t xml:space="preserve">Accordingly, in the absence of joint representation and a written agreement with the client, if an oral agreement to divide a fee existed in this case, the fee could be divided only on a quantum meruit basis. </w:t>
      </w:r>
      <w:r w:rsidRPr="007E4663">
        <w:rPr>
          <w:rFonts w:ascii="Times New Roman" w:hAnsi="Times New Roman" w:cs="Times New Roman"/>
          <w:i/>
          <w:szCs w:val="24"/>
        </w:rPr>
        <w:t>See</w:t>
      </w:r>
      <w:r w:rsidRPr="007E4663">
        <w:rPr>
          <w:rFonts w:ascii="Times New Roman" w:hAnsi="Times New Roman" w:cs="Times New Roman"/>
          <w:szCs w:val="24"/>
        </w:rPr>
        <w:t xml:space="preserve"> Rules of Professional Conduct, Rule 1.5(e)(1) . . . .</w:t>
      </w:r>
    </w:p>
    <w:p w14:paraId="7A6BB82B" w14:textId="2ECBC6D2" w:rsidR="00DB57B3" w:rsidRPr="007E4663" w:rsidRDefault="00C17CFC" w:rsidP="00DB57B3">
      <w:pPr>
        <w:pStyle w:val="NoIndent"/>
        <w:rPr>
          <w:rFonts w:ascii="Times New Roman" w:hAnsi="Times New Roman" w:cs="Times New Roman"/>
          <w:szCs w:val="24"/>
        </w:rPr>
      </w:pPr>
      <w:r w:rsidRPr="007E4663">
        <w:rPr>
          <w:rStyle w:val="ReLineChar"/>
          <w:rFonts w:ascii="Times New Roman" w:eastAsiaTheme="minorHAnsi" w:hAnsi="Times New Roman"/>
          <w:sz w:val="24"/>
          <w:szCs w:val="24"/>
        </w:rPr>
        <w:t>Id</w:t>
      </w:r>
      <w:r w:rsidRPr="007E4663">
        <w:rPr>
          <w:rFonts w:ascii="Times New Roman" w:hAnsi="Times New Roman" w:cs="Times New Roman"/>
          <w:szCs w:val="24"/>
        </w:rPr>
        <w:t>. at 521.</w:t>
      </w:r>
      <w:r w:rsidRPr="007E4663">
        <w:rPr>
          <w:rStyle w:val="FootnoteReference"/>
          <w:rFonts w:ascii="Times New Roman" w:hAnsi="Times New Roman" w:cs="Times New Roman"/>
          <w:szCs w:val="24"/>
        </w:rPr>
        <w:footnoteReference w:id="9"/>
      </w:r>
      <w:r w:rsidR="009D5A80">
        <w:rPr>
          <w:rFonts w:ascii="Times New Roman" w:hAnsi="Times New Roman" w:cs="Times New Roman"/>
          <w:szCs w:val="24"/>
        </w:rPr>
        <w:t xml:space="preserve">  </w:t>
      </w:r>
      <w:r w:rsidR="00DB57B3" w:rsidRPr="007E4663">
        <w:rPr>
          <w:rFonts w:ascii="Times New Roman" w:hAnsi="Times New Roman" w:cs="Times New Roman"/>
          <w:szCs w:val="24"/>
        </w:rPr>
        <w:t xml:space="preserve">In </w:t>
      </w:r>
      <w:r w:rsidR="00DB57B3" w:rsidRPr="007E4663">
        <w:rPr>
          <w:rFonts w:ascii="Times New Roman" w:hAnsi="Times New Roman" w:cs="Times New Roman"/>
          <w:i/>
          <w:iCs/>
          <w:szCs w:val="24"/>
        </w:rPr>
        <w:t>Dukes</w:t>
      </w:r>
      <w:r w:rsidR="00DB57B3" w:rsidRPr="007E4663">
        <w:rPr>
          <w:rFonts w:ascii="Times New Roman" w:hAnsi="Times New Roman" w:cs="Times New Roman"/>
          <w:szCs w:val="24"/>
        </w:rPr>
        <w:t xml:space="preserve">, the plaintiff sought to collect 50% of the contingency fee from the attorney who actually handled a personal injury case, even though the plaintiff performed zero services for the client, and assumed no responsibilities in the case. The court declared, “Notably, the law does not provide a basis for recovering a fee for the referral of a legal matter by one attorney to another. To be entitled to recover a portion of the contingency fee generated in a referred matter, the referring attorney must participate in the representation of the client.” </w:t>
      </w:r>
      <w:r w:rsidR="00DB57B3" w:rsidRPr="007E4663">
        <w:rPr>
          <w:rFonts w:ascii="Times New Roman" w:hAnsi="Times New Roman" w:cs="Times New Roman"/>
          <w:i/>
          <w:iCs/>
          <w:szCs w:val="24"/>
        </w:rPr>
        <w:t>Id.</w:t>
      </w:r>
      <w:r w:rsidR="00DB57B3" w:rsidRPr="007E4663">
        <w:rPr>
          <w:rFonts w:ascii="Times New Roman" w:hAnsi="Times New Roman" w:cs="Times New Roman"/>
          <w:szCs w:val="24"/>
        </w:rPr>
        <w:t xml:space="preserve"> at p. 6, 878 So.2d 521, citing</w:t>
      </w:r>
      <w:r w:rsidR="00DB57B3" w:rsidRPr="007E4663">
        <w:rPr>
          <w:rFonts w:ascii="Times New Roman" w:hAnsi="Times New Roman" w:cs="Times New Roman"/>
          <w:i/>
          <w:iCs/>
          <w:szCs w:val="24"/>
        </w:rPr>
        <w:t xml:space="preserve"> Bertucci v. McIntire,</w:t>
      </w:r>
      <w:r w:rsidR="00DB57B3" w:rsidRPr="007E4663">
        <w:rPr>
          <w:rFonts w:ascii="Times New Roman" w:hAnsi="Times New Roman" w:cs="Times New Roman"/>
          <w:szCs w:val="24"/>
        </w:rPr>
        <w:t xml:space="preserve"> 96–933 (</w:t>
      </w:r>
      <w:proofErr w:type="spellStart"/>
      <w:r w:rsidR="00DB57B3" w:rsidRPr="007E4663">
        <w:rPr>
          <w:rFonts w:ascii="Times New Roman" w:hAnsi="Times New Roman" w:cs="Times New Roman"/>
          <w:szCs w:val="24"/>
        </w:rPr>
        <w:t>La.App</w:t>
      </w:r>
      <w:proofErr w:type="spellEnd"/>
      <w:r w:rsidR="00DB57B3" w:rsidRPr="007E4663">
        <w:rPr>
          <w:rFonts w:ascii="Times New Roman" w:hAnsi="Times New Roman" w:cs="Times New Roman"/>
          <w:szCs w:val="24"/>
        </w:rPr>
        <w:t xml:space="preserve">. 5 Cir. 3/25/97), 693 So.2d 7, 8. </w:t>
      </w:r>
    </w:p>
    <w:p w14:paraId="079BA828" w14:textId="7760344F" w:rsidR="00DB57B3" w:rsidRPr="007E4663" w:rsidRDefault="00DB57B3" w:rsidP="00DB57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480" w:lineRule="auto"/>
        <w:jc w:val="both"/>
      </w:pPr>
      <w:r>
        <w:tab/>
        <w:t>T</w:t>
      </w:r>
      <w:r w:rsidRPr="007E4663">
        <w:t xml:space="preserve">he </w:t>
      </w:r>
      <w:r w:rsidRPr="007E4663">
        <w:rPr>
          <w:i/>
          <w:iCs/>
        </w:rPr>
        <w:t>Dukes</w:t>
      </w:r>
      <w:r w:rsidRPr="007E4663">
        <w:t xml:space="preserve"> Court </w:t>
      </w:r>
      <w:r>
        <w:t xml:space="preserve">found that the alleged fee division could only be done on a quantum meruit basis.  </w:t>
      </w:r>
      <w:r w:rsidRPr="007E4663">
        <w:rPr>
          <w:i/>
          <w:iCs/>
        </w:rPr>
        <w:t>Dukes</w:t>
      </w:r>
      <w:r w:rsidRPr="007E4663">
        <w:t xml:space="preserve">, citing Rules of Professional Conduct, Rule 1.5(e)(1); </w:t>
      </w:r>
      <w:r w:rsidRPr="007E4663">
        <w:rPr>
          <w:i/>
          <w:iCs/>
        </w:rPr>
        <w:t xml:space="preserve">Brown v. </w:t>
      </w:r>
      <w:proofErr w:type="spellStart"/>
      <w:r w:rsidRPr="007E4663">
        <w:rPr>
          <w:i/>
          <w:iCs/>
        </w:rPr>
        <w:t>Seimers</w:t>
      </w:r>
      <w:proofErr w:type="spellEnd"/>
      <w:r w:rsidRPr="007E4663">
        <w:rPr>
          <w:i/>
          <w:iCs/>
        </w:rPr>
        <w:t>,</w:t>
      </w:r>
      <w:r w:rsidRPr="007E4663">
        <w:t xml:space="preserve"> 98–694 (La. App. 5 Cir.1/13/99), 726 So.2d 1018, 1022; </w:t>
      </w:r>
      <w:r w:rsidRPr="007E4663">
        <w:rPr>
          <w:i/>
          <w:iCs/>
        </w:rPr>
        <w:t>Matter of P &amp; E Boat Rentals, Inc.,</w:t>
      </w:r>
      <w:r w:rsidRPr="007E4663">
        <w:t xml:space="preserve"> 928 F.2d 662, 665 (5th Cir.1991). After examining the record for evidence whether the plaintiff had any involvement with the case other than making the initial contact with the client, the </w:t>
      </w:r>
      <w:r w:rsidRPr="007E4663">
        <w:rPr>
          <w:i/>
          <w:iCs/>
        </w:rPr>
        <w:t>Dukes</w:t>
      </w:r>
      <w:r w:rsidRPr="007E4663">
        <w:t xml:space="preserve"> Court held, “Having neither performed any services nor assumed any responsibilities, Dukes was not entitled to any portion of the fee received by Matheny.” </w:t>
      </w:r>
      <w:r w:rsidRPr="007E4663">
        <w:rPr>
          <w:i/>
          <w:iCs/>
        </w:rPr>
        <w:t>Dukes</w:t>
      </w:r>
      <w:r w:rsidRPr="007E4663">
        <w:t>, 878 So.2d at 522.</w:t>
      </w:r>
    </w:p>
    <w:p w14:paraId="798EB775" w14:textId="77777777" w:rsidR="00DB57B3" w:rsidRPr="007E4663" w:rsidRDefault="00DB57B3" w:rsidP="00DB57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480" w:lineRule="auto"/>
        <w:jc w:val="both"/>
      </w:pPr>
      <w:r w:rsidRPr="007E4663">
        <w:tab/>
        <w:t xml:space="preserve">Since </w:t>
      </w:r>
      <w:r w:rsidRPr="007E4663">
        <w:rPr>
          <w:i/>
          <w:iCs/>
        </w:rPr>
        <w:t>Dukes</w:t>
      </w:r>
      <w:r w:rsidRPr="007E4663">
        <w:t xml:space="preserve">, several cases involving fee-sharing agreements between attorneys have been litigated, with some decisions upholding the agreement after finding that both sets of attorneys were involved and provided joint representation, while other decisions declined to enforce the alleged agreement because there was no joint representation, and thus held that </w:t>
      </w:r>
      <w:r w:rsidRPr="007E4663">
        <w:rPr>
          <w:i/>
          <w:iCs/>
        </w:rPr>
        <w:t>quantum meruit</w:t>
      </w:r>
      <w:r w:rsidRPr="007E4663">
        <w:t xml:space="preserve"> applied. Compare </w:t>
      </w:r>
      <w:r w:rsidRPr="007E4663">
        <w:rPr>
          <w:i/>
          <w:iCs/>
        </w:rPr>
        <w:t>Raspanti v. Litchfield</w:t>
      </w:r>
      <w:r w:rsidRPr="007E4663">
        <w:t>, 2019-0523 (</w:t>
      </w:r>
      <w:proofErr w:type="spellStart"/>
      <w:r w:rsidRPr="007E4663">
        <w:t>La.App</w:t>
      </w:r>
      <w:proofErr w:type="spellEnd"/>
      <w:r w:rsidRPr="007E4663">
        <w:t xml:space="preserve">. 4 Cir. 2/12/20), ___ So.3d ___, 2020 WL 710812, </w:t>
      </w:r>
      <w:r w:rsidRPr="007E4663">
        <w:rPr>
          <w:i/>
          <w:iCs/>
        </w:rPr>
        <w:t>Wootan &amp; Sanders v. Diaz</w:t>
      </w:r>
      <w:r w:rsidRPr="007E4663">
        <w:t>, 2017-0820 (</w:t>
      </w:r>
      <w:proofErr w:type="spellStart"/>
      <w:r w:rsidRPr="007E4663">
        <w:t>La.App</w:t>
      </w:r>
      <w:proofErr w:type="spellEnd"/>
      <w:r w:rsidRPr="007E4663">
        <w:t xml:space="preserve">. 4 Cir. 3/28/18), 317 So.3d 390, and </w:t>
      </w:r>
      <w:r w:rsidRPr="007E4663">
        <w:rPr>
          <w:i/>
          <w:iCs/>
        </w:rPr>
        <w:t>Scurto v. Siegrist</w:t>
      </w:r>
      <w:r w:rsidRPr="007E4663">
        <w:t xml:space="preserve">, 598 So.2d 507 (La. 1992) with </w:t>
      </w:r>
      <w:r w:rsidRPr="007E4663">
        <w:rPr>
          <w:i/>
          <w:iCs/>
        </w:rPr>
        <w:t>Robert L. Manard III PLC v. Falcon Law Firm PLC</w:t>
      </w:r>
      <w:r w:rsidRPr="007E4663">
        <w:t>, 2012-0147,</w:t>
      </w:r>
      <w:r w:rsidRPr="007E4663">
        <w:rPr>
          <w:i/>
          <w:iCs/>
        </w:rPr>
        <w:t xml:space="preserve"> on reh’g</w:t>
      </w:r>
      <w:r w:rsidRPr="007E4663">
        <w:t xml:space="preserve"> (La. App. 4 Cir. 4/10/13), 119 So.3d 1, 7 (applying </w:t>
      </w:r>
      <w:r w:rsidRPr="007E4663">
        <w:rPr>
          <w:i/>
          <w:iCs/>
        </w:rPr>
        <w:t>quantum meruit</w:t>
      </w:r>
      <w:r w:rsidRPr="007E4663">
        <w:t xml:space="preserve"> instead of upholding the agreement). </w:t>
      </w:r>
    </w:p>
    <w:p w14:paraId="7966DE51" w14:textId="006FCB54" w:rsidR="00DB57B3" w:rsidRDefault="00DB57B3" w:rsidP="00DB57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480" w:lineRule="auto"/>
        <w:jc w:val="both"/>
      </w:pPr>
      <w:r w:rsidRPr="007E4663">
        <w:tab/>
        <w:t xml:space="preserve">However, no decisions since </w:t>
      </w:r>
      <w:r w:rsidRPr="007E4663">
        <w:rPr>
          <w:i/>
          <w:iCs/>
        </w:rPr>
        <w:t>Dukes</w:t>
      </w:r>
      <w:r w:rsidRPr="007E4663">
        <w:t xml:space="preserve"> have involved a claim for a share of attorney’s fees by an attorney who did zero work for the client. </w:t>
      </w:r>
      <w:r>
        <w:t xml:space="preserve">There does not appear to be a single case addressing the situation in which a lawyer claiming a percentage of a fee actually performed no legal services on the case past “getting the client.”  Presumably, this is what led to the Supreme Court in </w:t>
      </w:r>
      <w:r>
        <w:rPr>
          <w:i/>
          <w:iCs/>
        </w:rPr>
        <w:t xml:space="preserve">Spears v. Hall </w:t>
      </w:r>
      <w:r>
        <w:t xml:space="preserve">accepting the writ application and hearing that matter.  </w:t>
      </w:r>
    </w:p>
    <w:p w14:paraId="7E4365BB" w14:textId="37667BB4" w:rsidR="009D5A80" w:rsidRDefault="009D5A80" w:rsidP="009D5A80">
      <w:pPr>
        <w:pStyle w:val="NoIndent"/>
        <w:spacing w:line="240" w:lineRule="auto"/>
        <w:rPr>
          <w:rFonts w:ascii="Times New Roman" w:hAnsi="Times New Roman" w:cs="Times New Roman"/>
          <w:b/>
          <w:bCs/>
          <w:szCs w:val="24"/>
          <w:u w:val="single"/>
        </w:rPr>
      </w:pPr>
      <w:r w:rsidRPr="009D5A80">
        <w:rPr>
          <w:rFonts w:ascii="Times New Roman" w:hAnsi="Times New Roman" w:cs="Times New Roman"/>
          <w:b/>
          <w:bCs/>
          <w:szCs w:val="24"/>
          <w:u w:val="single"/>
        </w:rPr>
        <w:t>Other Courts O</w:t>
      </w:r>
      <w:r>
        <w:rPr>
          <w:rFonts w:ascii="Times New Roman" w:hAnsi="Times New Roman" w:cs="Times New Roman"/>
          <w:b/>
          <w:bCs/>
          <w:szCs w:val="24"/>
          <w:u w:val="single"/>
        </w:rPr>
        <w:t>u</w:t>
      </w:r>
      <w:r w:rsidRPr="009D5A80">
        <w:rPr>
          <w:rFonts w:ascii="Times New Roman" w:hAnsi="Times New Roman" w:cs="Times New Roman"/>
          <w:b/>
          <w:bCs/>
          <w:szCs w:val="24"/>
          <w:u w:val="single"/>
        </w:rPr>
        <w:t>tside Of Louisiana State Court Have Refused To Enforce Contracts That Violate The Fee Sharing Rules Of Professional Conduct.</w:t>
      </w:r>
    </w:p>
    <w:p w14:paraId="4FCE89DC" w14:textId="77777777" w:rsidR="009D5A80" w:rsidRPr="009D5A80" w:rsidRDefault="009D5A80" w:rsidP="009D5A80">
      <w:pPr>
        <w:pStyle w:val="NoIndent"/>
        <w:spacing w:line="240" w:lineRule="auto"/>
        <w:rPr>
          <w:rFonts w:ascii="Times New Roman" w:hAnsi="Times New Roman" w:cs="Times New Roman"/>
          <w:b/>
          <w:bCs/>
          <w:szCs w:val="24"/>
          <w:u w:val="single"/>
        </w:rPr>
      </w:pPr>
    </w:p>
    <w:p w14:paraId="31F55BD6" w14:textId="34ECDF68" w:rsidR="00C17CFC" w:rsidRPr="007E4663" w:rsidRDefault="009D5A80" w:rsidP="009D5A80">
      <w:pPr>
        <w:pStyle w:val="NoIndent"/>
        <w:ind w:firstLine="720"/>
        <w:rPr>
          <w:rFonts w:ascii="Times New Roman" w:hAnsi="Times New Roman" w:cs="Times New Roman"/>
          <w:szCs w:val="24"/>
        </w:rPr>
      </w:pPr>
      <w:r>
        <w:rPr>
          <w:rFonts w:ascii="Times New Roman" w:hAnsi="Times New Roman" w:cs="Times New Roman"/>
          <w:szCs w:val="24"/>
        </w:rPr>
        <w:t>T</w:t>
      </w:r>
      <w:r w:rsidR="00C17CFC" w:rsidRPr="007E4663">
        <w:rPr>
          <w:rFonts w:ascii="Times New Roman" w:hAnsi="Times New Roman" w:cs="Times New Roman"/>
          <w:szCs w:val="24"/>
        </w:rPr>
        <w:t xml:space="preserve">wo courts have noted, “[i]t would be absurd if an attorney were allowed to enforce an unethical fee agreement through court action, even though the attorney potentially is subject to professional discipline for entering into the agreement.” </w:t>
      </w:r>
      <w:r w:rsidR="00C17CFC" w:rsidRPr="007E4663">
        <w:rPr>
          <w:rFonts w:ascii="Times New Roman" w:hAnsi="Times New Roman" w:cs="Times New Roman"/>
          <w:i/>
          <w:szCs w:val="24"/>
        </w:rPr>
        <w:t>Post v. Bregman</w:t>
      </w:r>
      <w:r w:rsidR="00C17CFC" w:rsidRPr="007E4663">
        <w:rPr>
          <w:rFonts w:ascii="Times New Roman" w:hAnsi="Times New Roman" w:cs="Times New Roman"/>
          <w:szCs w:val="24"/>
        </w:rPr>
        <w:t>, 707 A.2d 806, 818 (Md. 1998)</w:t>
      </w:r>
      <w:r w:rsidR="00C17CFC" w:rsidRPr="007E4663">
        <w:rPr>
          <w:rFonts w:ascii="Times New Roman" w:hAnsi="Times New Roman" w:cs="Times New Roman"/>
          <w:szCs w:val="24"/>
        </w:rPr>
        <w:fldChar w:fldCharType="begin"/>
      </w:r>
      <w:r w:rsidR="00C17CFC" w:rsidRPr="007E4663">
        <w:rPr>
          <w:rFonts w:ascii="Times New Roman" w:hAnsi="Times New Roman" w:cs="Times New Roman"/>
          <w:szCs w:val="24"/>
        </w:rPr>
        <w:instrText xml:space="preserve"> TA \l "</w:instrText>
      </w:r>
      <w:r w:rsidR="00C17CFC" w:rsidRPr="007E4663">
        <w:rPr>
          <w:rFonts w:ascii="Times New Roman" w:hAnsi="Times New Roman" w:cs="Times New Roman"/>
          <w:i/>
          <w:szCs w:val="24"/>
        </w:rPr>
        <w:instrText>Post v. Bregman</w:instrText>
      </w:r>
      <w:r w:rsidR="00C17CFC" w:rsidRPr="007E4663">
        <w:rPr>
          <w:rFonts w:ascii="Times New Roman" w:hAnsi="Times New Roman" w:cs="Times New Roman"/>
          <w:szCs w:val="24"/>
        </w:rPr>
        <w:instrText xml:space="preserve">, 707 A.2d 806 (Md. 1998)" \s "Post v. Bregman, 707 A.2d 806, 818 (Md. 1998)" \c 1 </w:instrText>
      </w:r>
      <w:r w:rsidR="00C17CFC" w:rsidRPr="007E4663">
        <w:rPr>
          <w:rFonts w:ascii="Times New Roman" w:hAnsi="Times New Roman" w:cs="Times New Roman"/>
          <w:szCs w:val="24"/>
        </w:rPr>
        <w:fldChar w:fldCharType="end"/>
      </w:r>
      <w:r w:rsidR="00C17CFC" w:rsidRPr="007E4663">
        <w:rPr>
          <w:rFonts w:ascii="Times New Roman" w:hAnsi="Times New Roman" w:cs="Times New Roman"/>
          <w:szCs w:val="24"/>
        </w:rPr>
        <w:t xml:space="preserve"> (quoting </w:t>
      </w:r>
      <w:proofErr w:type="spellStart"/>
      <w:r w:rsidR="00C17CFC" w:rsidRPr="007E4663">
        <w:rPr>
          <w:rFonts w:ascii="Times New Roman" w:hAnsi="Times New Roman" w:cs="Times New Roman"/>
          <w:i/>
          <w:szCs w:val="24"/>
        </w:rPr>
        <w:t>Scolinos</w:t>
      </w:r>
      <w:proofErr w:type="spellEnd"/>
      <w:r w:rsidR="00C17CFC" w:rsidRPr="007E4663">
        <w:rPr>
          <w:rFonts w:ascii="Times New Roman" w:hAnsi="Times New Roman" w:cs="Times New Roman"/>
          <w:i/>
          <w:szCs w:val="24"/>
        </w:rPr>
        <w:t xml:space="preserve"> v. Kolts</w:t>
      </w:r>
      <w:r w:rsidR="00C17CFC" w:rsidRPr="007E4663">
        <w:rPr>
          <w:rFonts w:ascii="Times New Roman" w:hAnsi="Times New Roman" w:cs="Times New Roman"/>
          <w:szCs w:val="24"/>
        </w:rPr>
        <w:t>, 37 Cal. App. 4th 635 (Cal. Ct. App. 1995)</w:t>
      </w:r>
      <w:r w:rsidR="00C17CFC" w:rsidRPr="007E4663">
        <w:rPr>
          <w:rFonts w:ascii="Times New Roman" w:hAnsi="Times New Roman" w:cs="Times New Roman"/>
          <w:szCs w:val="24"/>
        </w:rPr>
        <w:fldChar w:fldCharType="begin"/>
      </w:r>
      <w:r w:rsidR="00C17CFC" w:rsidRPr="007E4663">
        <w:rPr>
          <w:rFonts w:ascii="Times New Roman" w:hAnsi="Times New Roman" w:cs="Times New Roman"/>
          <w:szCs w:val="24"/>
        </w:rPr>
        <w:instrText xml:space="preserve"> TA \l "</w:instrText>
      </w:r>
      <w:r w:rsidR="00C17CFC" w:rsidRPr="007E4663">
        <w:rPr>
          <w:rFonts w:ascii="Times New Roman" w:hAnsi="Times New Roman" w:cs="Times New Roman"/>
          <w:i/>
          <w:szCs w:val="24"/>
        </w:rPr>
        <w:instrText>Scolinos v. Kolts</w:instrText>
      </w:r>
      <w:r w:rsidR="00C17CFC" w:rsidRPr="007E4663">
        <w:rPr>
          <w:rFonts w:ascii="Times New Roman" w:hAnsi="Times New Roman" w:cs="Times New Roman"/>
          <w:szCs w:val="24"/>
        </w:rPr>
        <w:instrText xml:space="preserve">, 37 Cal. App. 4th 635 (Cal. Ct. App. 1995)" \s "Scolinos v. Kolts, 37 Cal. App. 4th 635 (Cal. Ct. App. 1995)" \c 1 </w:instrText>
      </w:r>
      <w:r w:rsidR="00C17CFC" w:rsidRPr="007E4663">
        <w:rPr>
          <w:rFonts w:ascii="Times New Roman" w:hAnsi="Times New Roman" w:cs="Times New Roman"/>
          <w:szCs w:val="24"/>
        </w:rPr>
        <w:fldChar w:fldCharType="end"/>
      </w:r>
      <w:r w:rsidR="00C17CFC" w:rsidRPr="007E4663">
        <w:rPr>
          <w:rFonts w:ascii="Times New Roman" w:hAnsi="Times New Roman" w:cs="Times New Roman"/>
          <w:szCs w:val="24"/>
        </w:rPr>
        <w:t>). Likewise, the American Law Institute’s Restatement of the Law Governing Lawyers notes additional problems that would be caused by enforcing unethical agreements among lawyers:</w:t>
      </w:r>
    </w:p>
    <w:p w14:paraId="2CD0F231" w14:textId="77777777" w:rsidR="00C17CFC" w:rsidRPr="007E4663" w:rsidRDefault="00C17CFC" w:rsidP="00C17CFC">
      <w:pPr>
        <w:pStyle w:val="Quote"/>
        <w:rPr>
          <w:rFonts w:ascii="Times New Roman" w:hAnsi="Times New Roman" w:cs="Times New Roman"/>
          <w:szCs w:val="24"/>
        </w:rPr>
      </w:pPr>
      <w:r w:rsidRPr="007E4663">
        <w:rPr>
          <w:rFonts w:ascii="Times New Roman" w:hAnsi="Times New Roman" w:cs="Times New Roman"/>
          <w:szCs w:val="24"/>
        </w:rPr>
        <w:t>Some urge that lawyers who enter into an improper fee-splitting arrangement should be able to enforce it against each other, reasoning that neither may charge the other with an impropriety to which both agreed, and that the prohibition of fee-splitting protects clients rather than lawyer. Enforcement, however, encourages lawyers to continue entering into improper fee-splitting arrangements. Accordingly, a lawyer who has violated a regulatory rule or statute by entering into an improper fee-splitting arrangement should not obtain a tribunal’s aid to enforce the arrangement, unless the other lawyer is the one responsible for the impropriety.</w:t>
      </w:r>
    </w:p>
    <w:p w14:paraId="6FACF61B" w14:textId="77777777" w:rsidR="00C17CFC" w:rsidRPr="007E4663" w:rsidRDefault="00C17CFC" w:rsidP="00C17CFC">
      <w:pPr>
        <w:pStyle w:val="NoIndent"/>
        <w:rPr>
          <w:rFonts w:ascii="Times New Roman" w:hAnsi="Times New Roman" w:cs="Times New Roman"/>
          <w:szCs w:val="24"/>
        </w:rPr>
      </w:pPr>
      <w:r w:rsidRPr="007E4663">
        <w:rPr>
          <w:rFonts w:ascii="Times New Roman" w:hAnsi="Times New Roman" w:cs="Times New Roman"/>
          <w:szCs w:val="24"/>
        </w:rPr>
        <w:t xml:space="preserve">Restatement of the Law (Third) The Law Governing Lawyers § 47, </w:t>
      </w:r>
      <w:proofErr w:type="spellStart"/>
      <w:r w:rsidRPr="007E4663">
        <w:rPr>
          <w:rFonts w:ascii="Times New Roman" w:hAnsi="Times New Roman" w:cs="Times New Roman"/>
          <w:szCs w:val="24"/>
        </w:rPr>
        <w:t>cmt</w:t>
      </w:r>
      <w:proofErr w:type="spellEnd"/>
      <w:r w:rsidRPr="007E4663">
        <w:rPr>
          <w:rFonts w:ascii="Times New Roman" w:hAnsi="Times New Roman" w:cs="Times New Roman"/>
          <w:szCs w:val="24"/>
        </w:rPr>
        <w:t>. i (2000)</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"Restatement of the Law (Third) The Law Governing Lawyers § 47, cmt. i (2000)" \s "Restatement of the Law (Third) The Law Governing Lawyers § 47, cmt. i (2000)" \c 3 </w:instrText>
      </w:r>
      <w:r w:rsidRPr="007E4663">
        <w:rPr>
          <w:rFonts w:ascii="Times New Roman" w:hAnsi="Times New Roman" w:cs="Times New Roman"/>
          <w:szCs w:val="24"/>
        </w:rPr>
        <w:fldChar w:fldCharType="end"/>
      </w:r>
      <w:r w:rsidRPr="007E4663">
        <w:rPr>
          <w:rFonts w:ascii="Times New Roman" w:hAnsi="Times New Roman" w:cs="Times New Roman"/>
          <w:szCs w:val="24"/>
        </w:rPr>
        <w:t>.</w:t>
      </w:r>
      <w:r w:rsidRPr="007E4663">
        <w:rPr>
          <w:rStyle w:val="FootnoteReference"/>
          <w:rFonts w:ascii="Times New Roman" w:hAnsi="Times New Roman" w:cs="Times New Roman"/>
          <w:szCs w:val="24"/>
        </w:rPr>
        <w:footnoteReference w:id="10"/>
      </w:r>
    </w:p>
    <w:p w14:paraId="1B736837" w14:textId="77777777" w:rsidR="009D5A80" w:rsidRDefault="00C17CFC" w:rsidP="009D5A80">
      <w:pPr>
        <w:spacing w:line="480" w:lineRule="auto"/>
        <w:ind w:firstLine="720"/>
      </w:pPr>
      <w:r w:rsidRPr="007E4663">
        <w:t xml:space="preserve">Courts in other jurisdictions have heeded this advice. For example, the United States Court of Appeals for the Fifth Circuit in </w:t>
      </w:r>
      <w:r w:rsidRPr="007E4663">
        <w:rPr>
          <w:i/>
          <w:iCs/>
        </w:rPr>
        <w:t xml:space="preserve">In re P &amp; E Boat Rentals, Inc. v. </w:t>
      </w:r>
      <w:proofErr w:type="spellStart"/>
      <w:r w:rsidRPr="007E4663">
        <w:rPr>
          <w:i/>
          <w:iCs/>
        </w:rPr>
        <w:t>Martzell</w:t>
      </w:r>
      <w:proofErr w:type="spellEnd"/>
      <w:r w:rsidRPr="007E4663">
        <w:rPr>
          <w:i/>
          <w:iCs/>
        </w:rPr>
        <w:t>, Thomas &amp; Bickford</w:t>
      </w:r>
      <w:r w:rsidRPr="007E4663">
        <w:t>, 928 F.2d 662, 665 (5th Cir. 1991)</w:t>
      </w:r>
      <w:r w:rsidRPr="007E4663">
        <w:fldChar w:fldCharType="begin"/>
      </w:r>
      <w:r w:rsidRPr="007E4663">
        <w:instrText xml:space="preserve"> TA \l "</w:instrText>
      </w:r>
      <w:r w:rsidRPr="007E4663">
        <w:rPr>
          <w:i/>
          <w:iCs/>
        </w:rPr>
        <w:instrText>In re P &amp; E Boat Rentals, Inc. v. Martzell, Thomas &amp; Bickford</w:instrText>
      </w:r>
      <w:r w:rsidRPr="007E4663">
        <w:instrText xml:space="preserve">, 928 F.2d 662 (5th Cir. 1991)" \s "In re P &amp; E Boat Rentals, Inc. v. Martzell, Thomas &amp; Bickford, 928 F.2d 662, 665 (5th Cir. 1991)" \c 1 </w:instrText>
      </w:r>
      <w:r w:rsidRPr="007E4663">
        <w:fldChar w:fldCharType="end"/>
      </w:r>
      <w:r w:rsidRPr="007E4663">
        <w:t>, held that “[n]o contract between counsel which is in conflict with controlling ethical standards should be recognized and enforced by the court.”</w:t>
      </w:r>
      <w:r w:rsidRPr="007E4663">
        <w:rPr>
          <w:rStyle w:val="FootnoteReference"/>
        </w:rPr>
        <w:footnoteReference w:id="11"/>
      </w:r>
      <w:r w:rsidRPr="007E4663">
        <w:t xml:space="preserve"> </w:t>
      </w:r>
    </w:p>
    <w:p w14:paraId="596A5BE3" w14:textId="0D6FF76A" w:rsidR="00C17CFC" w:rsidRPr="007E4663" w:rsidRDefault="00C17CFC" w:rsidP="009D5A80">
      <w:pPr>
        <w:spacing w:line="480" w:lineRule="auto"/>
        <w:ind w:firstLine="720"/>
      </w:pPr>
      <w:r w:rsidRPr="007E4663">
        <w:t xml:space="preserve">Likewise, the Supreme Court of Minnesota has held that unethical fee-division agreements are unenforceable. In </w:t>
      </w:r>
      <w:r w:rsidRPr="007E4663">
        <w:rPr>
          <w:rStyle w:val="Emphasis"/>
        </w:rPr>
        <w:t>Christensen v. Eggen</w:t>
      </w:r>
      <w:r w:rsidRPr="007E4663">
        <w:t>, 577 N.W.2d 221 (Minn. 1998)</w:t>
      </w:r>
      <w:r w:rsidRPr="007E4663">
        <w:fldChar w:fldCharType="begin"/>
      </w:r>
      <w:r w:rsidRPr="007E4663">
        <w:instrText xml:space="preserve"> TA \l "</w:instrText>
      </w:r>
      <w:r w:rsidRPr="007E4663">
        <w:rPr>
          <w:rStyle w:val="Emphasis"/>
        </w:rPr>
        <w:instrText>Christensen v. Eggen</w:instrText>
      </w:r>
      <w:r w:rsidRPr="007E4663">
        <w:rPr>
          <w:i/>
          <w:iCs/>
        </w:rPr>
        <w:instrText xml:space="preserve">, </w:instrText>
      </w:r>
      <w:r w:rsidRPr="007E4663">
        <w:instrText xml:space="preserve">577 N.W.2d 221 (Minn. 1998)" \s "Christensen v. Eggen, 577 N.W.2d 221 (Minn. 1998)" \c 1 </w:instrText>
      </w:r>
      <w:r w:rsidRPr="007E4663">
        <w:fldChar w:fldCharType="end"/>
      </w:r>
      <w:r w:rsidRPr="007E4663">
        <w:t>, the court ruled as follows:</w:t>
      </w:r>
    </w:p>
    <w:p w14:paraId="6054062E" w14:textId="77777777" w:rsidR="00C17CFC" w:rsidRPr="007E4663" w:rsidRDefault="00C17CFC" w:rsidP="00C17CFC">
      <w:pPr>
        <w:pStyle w:val="Quote"/>
        <w:rPr>
          <w:rFonts w:ascii="Times New Roman" w:hAnsi="Times New Roman" w:cs="Times New Roman"/>
          <w:szCs w:val="24"/>
        </w:rPr>
      </w:pPr>
      <w:r w:rsidRPr="007E4663">
        <w:rPr>
          <w:rFonts w:ascii="Times New Roman" w:hAnsi="Times New Roman" w:cs="Times New Roman"/>
          <w:szCs w:val="24"/>
        </w:rPr>
        <w:t>We hold that public policy is clearly set forth by Minn. R. Prof. Conduct 1.5(e), and that fee-splitting agreements between attorneys of different firms must comply with all of the requirements of the rule to be deemed enforceable and consistent with public policy.</w:t>
      </w:r>
    </w:p>
    <w:p w14:paraId="127DF013" w14:textId="77777777" w:rsidR="00C17CFC" w:rsidRPr="007E4663" w:rsidRDefault="00C17CFC" w:rsidP="00C17CFC">
      <w:pPr>
        <w:pStyle w:val="NoIndent"/>
        <w:rPr>
          <w:rFonts w:ascii="Times New Roman" w:hAnsi="Times New Roman" w:cs="Times New Roman"/>
          <w:szCs w:val="24"/>
        </w:rPr>
      </w:pPr>
      <w:r w:rsidRPr="007E4663">
        <w:rPr>
          <w:rStyle w:val="Emphasis"/>
          <w:rFonts w:ascii="Times New Roman" w:hAnsi="Times New Roman" w:cs="Times New Roman"/>
          <w:szCs w:val="24"/>
        </w:rPr>
        <w:t>Id</w:t>
      </w:r>
      <w:r w:rsidRPr="007E4663">
        <w:rPr>
          <w:rFonts w:ascii="Times New Roman" w:hAnsi="Times New Roman" w:cs="Times New Roman"/>
          <w:szCs w:val="24"/>
        </w:rPr>
        <w:t xml:space="preserve">. at 222; </w:t>
      </w:r>
      <w:r w:rsidRPr="007E4663">
        <w:rPr>
          <w:rFonts w:ascii="Times New Roman" w:hAnsi="Times New Roman" w:cs="Times New Roman"/>
          <w:i/>
          <w:iCs/>
          <w:szCs w:val="24"/>
        </w:rPr>
        <w:t>see also</w:t>
      </w:r>
      <w:r w:rsidRPr="007E4663">
        <w:rPr>
          <w:rFonts w:ascii="Times New Roman" w:hAnsi="Times New Roman" w:cs="Times New Roman"/>
          <w:szCs w:val="24"/>
        </w:rPr>
        <w:t xml:space="preserve"> </w:t>
      </w:r>
      <w:r w:rsidRPr="007E4663">
        <w:rPr>
          <w:rFonts w:ascii="Times New Roman" w:hAnsi="Times New Roman" w:cs="Times New Roman"/>
          <w:i/>
          <w:iCs/>
          <w:szCs w:val="24"/>
        </w:rPr>
        <w:t>Padden Law Firm, PLLC v. Toyota Motor Corp.</w:t>
      </w:r>
      <w:r w:rsidRPr="007E4663">
        <w:rPr>
          <w:rFonts w:ascii="Times New Roman" w:hAnsi="Times New Roman" w:cs="Times New Roman"/>
          <w:szCs w:val="24"/>
        </w:rPr>
        <w:t>, 956 F.3d 1069, 1073 (8th Cir. 2020)</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iCs/>
          <w:szCs w:val="24"/>
        </w:rPr>
        <w:instrText>Padden Law Firm, PLLC v. Toyota Motor Corp.</w:instrText>
      </w:r>
      <w:r w:rsidRPr="007E4663">
        <w:rPr>
          <w:rFonts w:ascii="Times New Roman" w:hAnsi="Times New Roman" w:cs="Times New Roman"/>
          <w:szCs w:val="24"/>
        </w:rPr>
        <w:instrText xml:space="preserve">, 956 F.3d 1069 (8th Cir. 2020)" \s "Padden Law Firm, PLLC v. Toyota Motor Corp., 956 F.3d 1069, 1073 (8th Cir. 2020)" \c 1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(applying rule from </w:t>
      </w:r>
      <w:r w:rsidRPr="007E4663">
        <w:rPr>
          <w:rFonts w:ascii="Times New Roman" w:hAnsi="Times New Roman" w:cs="Times New Roman"/>
          <w:i/>
          <w:iCs/>
          <w:szCs w:val="24"/>
        </w:rPr>
        <w:t>Christensen</w:t>
      </w:r>
      <w:r w:rsidRPr="007E4663">
        <w:rPr>
          <w:rFonts w:ascii="Times New Roman" w:hAnsi="Times New Roman" w:cs="Times New Roman"/>
          <w:szCs w:val="24"/>
        </w:rPr>
        <w:t>).</w:t>
      </w:r>
    </w:p>
    <w:p w14:paraId="046FC8D2" w14:textId="77777777" w:rsidR="00C17CFC" w:rsidRPr="007E4663" w:rsidRDefault="00C17CFC" w:rsidP="009D5A80">
      <w:pPr>
        <w:spacing w:line="480" w:lineRule="auto"/>
        <w:ind w:firstLine="720"/>
      </w:pPr>
      <w:r w:rsidRPr="007E4663">
        <w:t>Finally, several United States District Courts have refused to enforce a lawyer fee-sharing agreement that violated the applicable rules of professional conduct. Said one United States District Court:</w:t>
      </w:r>
    </w:p>
    <w:p w14:paraId="4F77D171" w14:textId="77777777" w:rsidR="00C17CFC" w:rsidRPr="007E4663" w:rsidRDefault="00C17CFC" w:rsidP="00C17CFC">
      <w:pPr>
        <w:pStyle w:val="Quote"/>
        <w:rPr>
          <w:rFonts w:ascii="Times New Roman" w:hAnsi="Times New Roman" w:cs="Times New Roman"/>
          <w:szCs w:val="24"/>
        </w:rPr>
      </w:pPr>
      <w:r w:rsidRPr="007E4663">
        <w:rPr>
          <w:rFonts w:ascii="Times New Roman" w:hAnsi="Times New Roman" w:cs="Times New Roman"/>
          <w:szCs w:val="24"/>
        </w:rPr>
        <w:t>Although there is no binding precedent [in this jurisdiction] determining whether a contract between attorneys that violates Model Rules 1.5(e) is enforceable, the Supreme Court of Puerto Rico has previously held that “the rules that govern the legal profession are in the realm of public order” (citations omitted). The Model Rules govern professional conduct in this Court because these rules are necessary to “the effective administration of justice and the integrity of the Court.”</w:t>
      </w:r>
    </w:p>
    <w:p w14:paraId="42AABBE2" w14:textId="14DE88E9" w:rsidR="00C17CFC" w:rsidRPr="007E4663" w:rsidRDefault="00C17CFC" w:rsidP="00C17CFC">
      <w:pPr>
        <w:pStyle w:val="NoIndent"/>
        <w:rPr>
          <w:rFonts w:ascii="Times New Roman" w:hAnsi="Times New Roman" w:cs="Times New Roman"/>
          <w:szCs w:val="24"/>
        </w:rPr>
      </w:pPr>
      <w:r w:rsidRPr="007E4663">
        <w:rPr>
          <w:rFonts w:ascii="Times New Roman" w:hAnsi="Times New Roman" w:cs="Times New Roman"/>
          <w:i/>
          <w:szCs w:val="24"/>
        </w:rPr>
        <w:t>Parker Waichman, LLP v. Salas, LC</w:t>
      </w:r>
      <w:r w:rsidRPr="007E4663">
        <w:rPr>
          <w:rFonts w:ascii="Times New Roman" w:hAnsi="Times New Roman" w:cs="Times New Roman"/>
          <w:iCs/>
          <w:szCs w:val="24"/>
        </w:rPr>
        <w:t>, 263 F. Supp. 369, 378-80 (D.P.R. 2017)</w:t>
      </w:r>
      <w:r w:rsidRPr="007E4663">
        <w:rPr>
          <w:rFonts w:ascii="Times New Roman" w:hAnsi="Times New Roman" w:cs="Times New Roman"/>
          <w:iCs/>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szCs w:val="24"/>
        </w:rPr>
        <w:instrText>Parker Waichman, LLP v. Salas, LC</w:instrText>
      </w:r>
      <w:r w:rsidRPr="007E4663">
        <w:rPr>
          <w:rFonts w:ascii="Times New Roman" w:hAnsi="Times New Roman" w:cs="Times New Roman"/>
          <w:iCs/>
          <w:szCs w:val="24"/>
        </w:rPr>
        <w:instrText>, 263 F. Supp. 369 (D.P.R. 2017)</w:instrText>
      </w:r>
      <w:r w:rsidRPr="007E4663">
        <w:rPr>
          <w:rFonts w:ascii="Times New Roman" w:hAnsi="Times New Roman" w:cs="Times New Roman"/>
          <w:szCs w:val="24"/>
        </w:rPr>
        <w:instrText xml:space="preserve">" \s "Parker Waichman, LLP v. Salas, LC, 263 F. Supp. 369, 378-80 (D.P.R. 2017)" \c 1 </w:instrText>
      </w:r>
      <w:r w:rsidRPr="007E4663">
        <w:rPr>
          <w:rFonts w:ascii="Times New Roman" w:hAnsi="Times New Roman" w:cs="Times New Roman"/>
          <w:iCs/>
          <w:szCs w:val="24"/>
        </w:rPr>
        <w:fldChar w:fldCharType="end"/>
      </w:r>
      <w:r w:rsidRPr="007E4663">
        <w:rPr>
          <w:rFonts w:ascii="Times New Roman" w:hAnsi="Times New Roman" w:cs="Times New Roman"/>
          <w:szCs w:val="24"/>
        </w:rPr>
        <w:t xml:space="preserve">; </w:t>
      </w:r>
      <w:r w:rsidRPr="007E4663">
        <w:rPr>
          <w:rFonts w:ascii="Times New Roman" w:hAnsi="Times New Roman" w:cs="Times New Roman"/>
          <w:i/>
          <w:szCs w:val="24"/>
        </w:rPr>
        <w:t>see also</w:t>
      </w:r>
      <w:r w:rsidRPr="007E4663">
        <w:rPr>
          <w:rFonts w:ascii="Times New Roman" w:hAnsi="Times New Roman" w:cs="Times New Roman"/>
          <w:szCs w:val="24"/>
        </w:rPr>
        <w:t xml:space="preserve"> </w:t>
      </w:r>
      <w:r w:rsidRPr="007E4663">
        <w:rPr>
          <w:rFonts w:ascii="Times New Roman" w:hAnsi="Times New Roman" w:cs="Times New Roman"/>
          <w:i/>
          <w:iCs/>
          <w:szCs w:val="24"/>
        </w:rPr>
        <w:t>McIlwain, LLC v. Berman</w:t>
      </w:r>
      <w:r w:rsidRPr="007E4663">
        <w:rPr>
          <w:rFonts w:ascii="Times New Roman" w:hAnsi="Times New Roman" w:cs="Times New Roman"/>
          <w:szCs w:val="24"/>
        </w:rPr>
        <w:t>, 2020 WL 1308342 (N.D. Cal. Feb. 10, 2020)</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iCs/>
          <w:szCs w:val="24"/>
        </w:rPr>
        <w:instrText>McIlwain, LLC v. Berman</w:instrText>
      </w:r>
      <w:r w:rsidRPr="007E4663">
        <w:rPr>
          <w:rFonts w:ascii="Times New Roman" w:hAnsi="Times New Roman" w:cs="Times New Roman"/>
          <w:szCs w:val="24"/>
        </w:rPr>
        <w:instrText xml:space="preserve">, 2020 WL 1308342 (N.D. Cal. Feb. 10, 2020)" \s "McIlwain, LLC v. Berman, 2020 WL 1308342 (N.D. Cal. Feb. 10, 2020)" \c 1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(granting summary judgment because “fee-splitting agreement is unenforceable because it violates New Jersey RPC 1.5(e) and therefore violates public policy”); </w:t>
      </w:r>
      <w:r w:rsidRPr="007E4663">
        <w:rPr>
          <w:rFonts w:ascii="Times New Roman" w:hAnsi="Times New Roman" w:cs="Times New Roman"/>
          <w:i/>
          <w:szCs w:val="24"/>
        </w:rPr>
        <w:t>Homolka v. Clark</w:t>
      </w:r>
      <w:r w:rsidRPr="007E4663">
        <w:rPr>
          <w:rFonts w:ascii="Times New Roman" w:hAnsi="Times New Roman" w:cs="Times New Roman"/>
          <w:szCs w:val="24"/>
        </w:rPr>
        <w:t>, 2010 WL 11468921 (S.D. Tx. 2010)</w:t>
      </w:r>
      <w:r w:rsidRPr="007E4663">
        <w:rPr>
          <w:rFonts w:ascii="Times New Roman" w:hAnsi="Times New Roman" w:cs="Times New Roman"/>
          <w:szCs w:val="24"/>
        </w:rPr>
        <w:fldChar w:fldCharType="begin"/>
      </w:r>
      <w:r w:rsidRPr="007E4663">
        <w:rPr>
          <w:rFonts w:ascii="Times New Roman" w:hAnsi="Times New Roman" w:cs="Times New Roman"/>
          <w:szCs w:val="24"/>
        </w:rPr>
        <w:instrText xml:space="preserve"> TA \l "</w:instrText>
      </w:r>
      <w:r w:rsidRPr="007E4663">
        <w:rPr>
          <w:rFonts w:ascii="Times New Roman" w:hAnsi="Times New Roman" w:cs="Times New Roman"/>
          <w:i/>
          <w:szCs w:val="24"/>
        </w:rPr>
        <w:instrText>Homolka v. Clark</w:instrText>
      </w:r>
      <w:r w:rsidRPr="007E4663">
        <w:rPr>
          <w:rFonts w:ascii="Times New Roman" w:hAnsi="Times New Roman" w:cs="Times New Roman"/>
          <w:szCs w:val="24"/>
        </w:rPr>
        <w:instrText xml:space="preserve">, 2010 WL 11468921 (S.D. Tx. 2010)" \s "Homolka v. Clark, 2010 WL 11468921 (S.D. Tx. 2010)" \c 1 </w:instrText>
      </w:r>
      <w:r w:rsidRPr="007E4663">
        <w:rPr>
          <w:rFonts w:ascii="Times New Roman" w:hAnsi="Times New Roman" w:cs="Times New Roman"/>
          <w:szCs w:val="24"/>
        </w:rPr>
        <w:fldChar w:fldCharType="end"/>
      </w:r>
      <w:r w:rsidRPr="007E4663">
        <w:rPr>
          <w:rFonts w:ascii="Times New Roman" w:hAnsi="Times New Roman" w:cs="Times New Roman"/>
          <w:szCs w:val="24"/>
        </w:rPr>
        <w:t xml:space="preserve"> (“An agreement to split fees between lawyers who are not in the same firm must comply with rule 1.04(f) ... If [a] fee splitting agreement violates rule 1.04(f), it is counter to public policy and therefore unenforceable.”).</w:t>
      </w:r>
      <w:r w:rsidRPr="007E4663">
        <w:rPr>
          <w:rStyle w:val="FootnoteReference"/>
          <w:rFonts w:ascii="Times New Roman" w:hAnsi="Times New Roman" w:cs="Times New Roman"/>
          <w:szCs w:val="24"/>
        </w:rPr>
        <w:footnoteReference w:id="12"/>
      </w:r>
    </w:p>
    <w:p w14:paraId="1E99E798" w14:textId="2E74C531" w:rsidR="001D19A3" w:rsidRPr="009D5A80" w:rsidRDefault="009D5A80" w:rsidP="001D19A3">
      <w:pPr>
        <w:widowControl/>
        <w:spacing w:line="480" w:lineRule="auto"/>
        <w:jc w:val="both"/>
        <w:rPr>
          <w:b/>
          <w:bCs/>
          <w:iCs/>
          <w:u w:val="single"/>
        </w:rPr>
      </w:pPr>
      <w:r>
        <w:rPr>
          <w:b/>
          <w:bCs/>
          <w:iCs/>
          <w:u w:val="single"/>
        </w:rPr>
        <w:t>Meaningful Legal Services</w:t>
      </w:r>
    </w:p>
    <w:p w14:paraId="3CF51367" w14:textId="09988DAA" w:rsidR="001D19A3" w:rsidRDefault="009D5A80" w:rsidP="009D5A80">
      <w:pPr>
        <w:widowControl/>
        <w:spacing w:line="480" w:lineRule="auto"/>
        <w:ind w:firstLine="720"/>
        <w:jc w:val="both"/>
        <w:rPr>
          <w:iCs/>
        </w:rPr>
      </w:pPr>
      <w:r>
        <w:rPr>
          <w:iCs/>
        </w:rPr>
        <w:t>The rules do not define what constitutes “meaningful legal services” under Rule 1.5.  There are very few cases providing guidance.  That being said, one case has held that m</w:t>
      </w:r>
      <w:r w:rsidR="001D19A3" w:rsidRPr="007E4663">
        <w:rPr>
          <w:iCs/>
        </w:rPr>
        <w:t xml:space="preserve">aintaining client contact throughout litigation </w:t>
      </w:r>
      <w:r>
        <w:rPr>
          <w:iCs/>
        </w:rPr>
        <w:t xml:space="preserve">is </w:t>
      </w:r>
      <w:r w:rsidR="001D19A3" w:rsidRPr="007E4663">
        <w:rPr>
          <w:iCs/>
        </w:rPr>
        <w:t xml:space="preserve">sufficient under Rule 1.5(e) to allow a 25% share of a contingency fee sharing agreement to be upheld.  </w:t>
      </w:r>
      <w:r w:rsidR="001D19A3" w:rsidRPr="009D5A80">
        <w:rPr>
          <w:i/>
        </w:rPr>
        <w:t>Wootan &amp; Saunders v. Diaz</w:t>
      </w:r>
      <w:r w:rsidR="001D19A3" w:rsidRPr="007E4663">
        <w:rPr>
          <w:iCs/>
        </w:rPr>
        <w:t>, 2017-0820 (La. App. 4 Cir. 3/28/18), 317 So. 3d 390, 399</w:t>
      </w:r>
      <w:r>
        <w:rPr>
          <w:iCs/>
        </w:rPr>
        <w:t>.</w:t>
      </w:r>
    </w:p>
    <w:p w14:paraId="1F1BB7F9" w14:textId="77777777" w:rsidR="00FD2F62" w:rsidRDefault="00FD2F62" w:rsidP="009D5A80">
      <w:pPr>
        <w:widowControl/>
        <w:spacing w:line="480" w:lineRule="auto"/>
        <w:ind w:firstLine="720"/>
        <w:jc w:val="both"/>
        <w:rPr>
          <w:iCs/>
        </w:rPr>
      </w:pPr>
    </w:p>
    <w:p w14:paraId="56C4F050" w14:textId="3CCFDADC" w:rsidR="00FD2F62" w:rsidRDefault="00FD2F62" w:rsidP="00FD2F62">
      <w:pPr>
        <w:widowControl/>
        <w:jc w:val="both"/>
        <w:rPr>
          <w:b/>
          <w:bCs/>
          <w:iCs/>
          <w:u w:val="single"/>
        </w:rPr>
      </w:pPr>
      <w:r w:rsidRPr="00FD2F62">
        <w:rPr>
          <w:b/>
          <w:bCs/>
          <w:iCs/>
          <w:u w:val="single"/>
        </w:rPr>
        <w:t>Contracts That Violate The Rules Of Professional Conduct Can Be Argued To Be Absolutely Null.</w:t>
      </w:r>
    </w:p>
    <w:p w14:paraId="2D591872" w14:textId="77777777" w:rsidR="00FD2F62" w:rsidRPr="00FD2F62" w:rsidRDefault="00FD2F62" w:rsidP="00FD2F62">
      <w:pPr>
        <w:widowControl/>
        <w:jc w:val="both"/>
        <w:rPr>
          <w:b/>
          <w:bCs/>
          <w:iCs/>
          <w:u w:val="single"/>
        </w:rPr>
      </w:pPr>
    </w:p>
    <w:p w14:paraId="7A13BAAB" w14:textId="77777777" w:rsidR="00FD2F62" w:rsidRPr="007E4663" w:rsidRDefault="00FD2F62" w:rsidP="00FD2F62">
      <w:pPr>
        <w:widowControl/>
        <w:spacing w:line="480" w:lineRule="auto"/>
        <w:ind w:firstLine="720"/>
        <w:jc w:val="both"/>
      </w:pPr>
      <w:r w:rsidRPr="007E4663">
        <w:t>Louisiana Civil Code article 7 provides as follows:</w:t>
      </w:r>
    </w:p>
    <w:p w14:paraId="61ED2A28" w14:textId="77777777" w:rsidR="00FD2F62" w:rsidRPr="007E4663" w:rsidRDefault="00FD2F62" w:rsidP="00FD2F62">
      <w:pPr>
        <w:widowControl/>
        <w:ind w:left="720" w:right="720"/>
        <w:jc w:val="both"/>
        <w:rPr>
          <w:iCs/>
        </w:rPr>
      </w:pPr>
      <w:r w:rsidRPr="007E4663">
        <w:rPr>
          <w:iCs/>
        </w:rPr>
        <w:t>Persons may not by their juridical acts derogate from laws enacted for the protection of the public interest. Any act in derogation of such laws is an absolute nullity.</w:t>
      </w:r>
    </w:p>
    <w:p w14:paraId="62771A12" w14:textId="77777777" w:rsidR="00FD2F62" w:rsidRPr="007E4663" w:rsidRDefault="00FD2F62" w:rsidP="00FD2F62">
      <w:pPr>
        <w:widowControl/>
        <w:ind w:right="720"/>
        <w:jc w:val="both"/>
        <w:rPr>
          <w:iCs/>
        </w:rPr>
      </w:pPr>
    </w:p>
    <w:p w14:paraId="0E3000B4" w14:textId="77777777" w:rsidR="00FD2F62" w:rsidRPr="007E4663" w:rsidRDefault="00FD2F62" w:rsidP="00FD2F62">
      <w:pPr>
        <w:widowControl/>
        <w:spacing w:line="480" w:lineRule="auto"/>
        <w:ind w:firstLine="720"/>
        <w:jc w:val="both"/>
      </w:pPr>
      <w:r w:rsidRPr="007E4663">
        <w:t>Similarly, article 2030 provides that “[a] contract is absolutely null when it violates a rule of public order . . ..”</w:t>
      </w:r>
      <w:r w:rsidRPr="007E4663">
        <w:rPr>
          <w:vertAlign w:val="superscript"/>
        </w:rPr>
        <w:footnoteReference w:id="13"/>
      </w:r>
      <w:r w:rsidRPr="007E4663">
        <w:t xml:space="preserve"> “Rules of public order are those which an individual is expressly or impliedly prohibited from renouncing because they have been enacted for the protection of the public interest.” </w:t>
      </w:r>
      <w:r w:rsidRPr="007E4663">
        <w:rPr>
          <w:i/>
          <w:iCs/>
        </w:rPr>
        <w:t>First Guar. Bank, Hammond, La. v. Baton Rouge Petroleum Ctr., Inc.</w:t>
      </w:r>
      <w:r w:rsidRPr="007E4663">
        <w:t>, 529 So.2d 834, 842 (La. 1987) (</w:t>
      </w:r>
      <w:r w:rsidRPr="007E4663">
        <w:rPr>
          <w:i/>
          <w:iCs/>
        </w:rPr>
        <w:t>citing</w:t>
      </w:r>
      <w:r w:rsidRPr="007E4663">
        <w:t xml:space="preserve"> La. Civ. Code art. 7, </w:t>
      </w:r>
      <w:proofErr w:type="spellStart"/>
      <w:r w:rsidRPr="007E4663">
        <w:t>cmt</w:t>
      </w:r>
      <w:proofErr w:type="spellEnd"/>
      <w:r w:rsidRPr="007E4663">
        <w:t xml:space="preserve">.); </w:t>
      </w:r>
      <w:r w:rsidRPr="007E4663">
        <w:rPr>
          <w:i/>
          <w:iCs/>
        </w:rPr>
        <w:t>Matter of Dibert, Bancroft &amp; Ross Co., Ltd.</w:t>
      </w:r>
      <w:r w:rsidRPr="007E4663">
        <w:t xml:space="preserve">, 117 F.3d 160, 173 (5th Cir. 1997) (“legal precepts rooted in public policy which may not be set aside by private agreement”). “No principle of law is better settled than that a party to an illegal contract or an illegal transaction cannot come into a court of law and ask it to carry out the illegal contract or to enforce rights arising out of the illegal transaction.” </w:t>
      </w:r>
      <w:r w:rsidRPr="007E4663">
        <w:rPr>
          <w:i/>
          <w:iCs/>
        </w:rPr>
        <w:t>Vidrine v. Abshire</w:t>
      </w:r>
      <w:r w:rsidRPr="007E4663">
        <w:t>, 558 So. 2d 288, 292 (La. App. 3 Cir. 1990).</w:t>
      </w:r>
    </w:p>
    <w:p w14:paraId="6297BCE6" w14:textId="77777777" w:rsidR="00FD2F62" w:rsidRPr="007E4663" w:rsidRDefault="00FD2F62" w:rsidP="00FD2F62">
      <w:pPr>
        <w:widowControl/>
        <w:spacing w:line="480" w:lineRule="auto"/>
        <w:ind w:firstLine="720"/>
        <w:jc w:val="both"/>
      </w:pPr>
      <w:r w:rsidRPr="007E4663">
        <w:t xml:space="preserve">To determine whether a rule is “imperative,” Louisiana courts consider both the “wording of the text” and “the interest the rule was designed to protect.” </w:t>
      </w:r>
      <w:r w:rsidRPr="007E4663">
        <w:rPr>
          <w:i/>
        </w:rPr>
        <w:t>E.L. Burns</w:t>
      </w:r>
      <w:r w:rsidRPr="007E4663">
        <w:t xml:space="preserve">, 302 So.2d at 301. Historically, laws “affecting the public order” include “those which tend to protect one of the contracting parties against the other.” </w:t>
      </w:r>
      <w:r w:rsidRPr="007E4663">
        <w:rPr>
          <w:i/>
          <w:iCs/>
        </w:rPr>
        <w:t>See</w:t>
      </w:r>
      <w:r w:rsidRPr="007E4663">
        <w:t xml:space="preserve"> 1 Marcel </w:t>
      </w:r>
      <w:proofErr w:type="spellStart"/>
      <w:r w:rsidRPr="007E4663">
        <w:t>Planiol</w:t>
      </w:r>
      <w:proofErr w:type="spellEnd"/>
      <w:r w:rsidRPr="007E4663">
        <w:t>, Treatise on the Civil Law, No. 299 at 200 (La. Law Inst. trans. 1939). Contracts between private persons cannot contravene laws affecting the public order and “may be annulled in judicial proceedings” such as this one.</w:t>
      </w:r>
      <w:r w:rsidRPr="007E4663">
        <w:rPr>
          <w:vertAlign w:val="superscript"/>
        </w:rPr>
        <w:footnoteReference w:id="14"/>
      </w:r>
    </w:p>
    <w:p w14:paraId="7236B6A4" w14:textId="77777777" w:rsidR="00FD2F62" w:rsidRPr="007E4663" w:rsidRDefault="00FD2F62" w:rsidP="00FD2F62">
      <w:pPr>
        <w:widowControl/>
        <w:spacing w:line="480" w:lineRule="auto"/>
        <w:ind w:firstLine="720"/>
        <w:jc w:val="both"/>
      </w:pPr>
      <w:r w:rsidRPr="007E4663">
        <w:t xml:space="preserve">The Louisiana Rules of Professional Conduct contain “imperative” rules that private parties cannot contravene by agreement. The rules unquestionably have the “full force and effect of substantive law.” </w:t>
      </w:r>
      <w:r w:rsidRPr="007E4663">
        <w:rPr>
          <w:i/>
          <w:iCs/>
        </w:rPr>
        <w:t>See, e.g., State v. Shabazz</w:t>
      </w:r>
      <w:r w:rsidRPr="007E4663">
        <w:t>, 167 So.3d 725 n.7 (La. App. 1 Cir. 2014);</w:t>
      </w:r>
      <w:r w:rsidRPr="007E4663">
        <w:rPr>
          <w:i/>
          <w:iCs/>
        </w:rPr>
        <w:t xml:space="preserve"> Dazet Mortgage Solutions LLC v. Faia</w:t>
      </w:r>
      <w:r w:rsidRPr="007E4663">
        <w:t xml:space="preserve">, 116 So.3d 711, 716 (La. App. 5 Cir. 2013); </w:t>
      </w:r>
      <w:r w:rsidRPr="007E4663">
        <w:rPr>
          <w:i/>
          <w:iCs/>
        </w:rPr>
        <w:t>Succession of Parham</w:t>
      </w:r>
      <w:r w:rsidRPr="007E4663">
        <w:t xml:space="preserve">, 755 So.2d 265, 270 (La. App. 1 Cir. 1999); </w:t>
      </w:r>
      <w:r w:rsidRPr="007E4663">
        <w:rPr>
          <w:i/>
          <w:iCs/>
        </w:rPr>
        <w:t>In re: Huddleston</w:t>
      </w:r>
      <w:r w:rsidRPr="007E4663">
        <w:t xml:space="preserve">, 655 So.2d 416, 422 (La. App. 5 Cir. 1995); </w:t>
      </w:r>
      <w:r w:rsidRPr="007E4663">
        <w:rPr>
          <w:i/>
          <w:iCs/>
        </w:rPr>
        <w:t>Soderquist v. Kramer</w:t>
      </w:r>
      <w:r w:rsidRPr="007E4663">
        <w:t xml:space="preserve">, 595 So.2d 825, 829 (La. App. 2 Cir. 1992). Moreover, the Louisiana Supreme Court enacted these rules and gave them the full force of substantive law “in the </w:t>
      </w:r>
      <w:r w:rsidRPr="007E4663">
        <w:rPr>
          <w:i/>
          <w:iCs/>
        </w:rPr>
        <w:t>interests of the public</w:t>
      </w:r>
      <w:r w:rsidRPr="007E4663">
        <w:t xml:space="preserve">, the courts, and the legal profession.” </w:t>
      </w:r>
      <w:r w:rsidRPr="007E4663">
        <w:rPr>
          <w:i/>
          <w:iCs/>
        </w:rPr>
        <w:t>Chittenden v. State Farm Mut. Auto. Ins. Co.</w:t>
      </w:r>
      <w:r w:rsidRPr="007E4663">
        <w:t>, 788 So.2d 1140, 1149 (La. 2001) (emphasis added). Obviously, these rules exist for the purpose of “</w:t>
      </w:r>
      <w:r w:rsidRPr="007E4663">
        <w:rPr>
          <w:i/>
          <w:iCs/>
        </w:rPr>
        <w:t>protecting the public</w:t>
      </w:r>
      <w:r w:rsidRPr="007E4663">
        <w:t xml:space="preserve"> from substandard attorney conduct.” </w:t>
      </w:r>
      <w:r w:rsidRPr="007E4663">
        <w:rPr>
          <w:i/>
          <w:iCs/>
        </w:rPr>
        <w:t>Id.</w:t>
      </w:r>
      <w:r w:rsidRPr="007E4663">
        <w:t xml:space="preserve"> (emphasis added).</w:t>
      </w:r>
    </w:p>
    <w:p w14:paraId="3809B1C8" w14:textId="77777777" w:rsidR="00FD2F62" w:rsidRPr="007E4663" w:rsidRDefault="00FD2F62" w:rsidP="00FD2F62">
      <w:pPr>
        <w:widowControl/>
        <w:spacing w:line="480" w:lineRule="auto"/>
        <w:ind w:firstLine="720"/>
        <w:jc w:val="both"/>
      </w:pPr>
      <w:r w:rsidRPr="007E4663">
        <w:t xml:space="preserve">The Louisiana Supreme Court, which has exclusive constitutional authority to regulate lawyer conduct, enacted “imperative” rules in the Rules of Professional Conduct to protect the public. </w:t>
      </w:r>
      <w:r w:rsidRPr="007E4663">
        <w:rPr>
          <w:i/>
          <w:iCs/>
        </w:rPr>
        <w:t>See Succession of Wallace</w:t>
      </w:r>
      <w:r w:rsidRPr="007E4663">
        <w:t>, 574 So. 2d 348, 350 (La. 1991). Exercising that exclusive authority, the Supreme Court has mandated, for example, that lawyers disclose unfavorable facts to tribunals, to opponents, to third persons and to the Office of Disciplinary Counsel.</w:t>
      </w:r>
      <w:r w:rsidRPr="007E4663">
        <w:rPr>
          <w:vertAlign w:val="superscript"/>
        </w:rPr>
        <w:footnoteReference w:id="15"/>
      </w:r>
      <w:r w:rsidRPr="007E4663">
        <w:t xml:space="preserve"> Likewise, the Court has prohibited lawyers from sharing legal fees or forming law firms with nonlawyers.</w:t>
      </w:r>
      <w:r w:rsidRPr="007E4663">
        <w:rPr>
          <w:vertAlign w:val="superscript"/>
        </w:rPr>
        <w:footnoteReference w:id="16"/>
      </w:r>
      <w:r w:rsidRPr="007E4663">
        <w:t xml:space="preserve"> An agreement between private parties to share legal fees with nonlawyers or to hide information from a tribunal derogate from the public interest would be absolutely null and unenforceable. So too is an agreement to share a legal fee with a conflicted-out lawyer in derogation of Rule 1.7.</w:t>
      </w:r>
    </w:p>
    <w:p w14:paraId="66F61767" w14:textId="77777777" w:rsidR="00FD2F62" w:rsidRPr="007E4663" w:rsidRDefault="00FD2F62" w:rsidP="00FD2F62">
      <w:pPr>
        <w:widowControl/>
        <w:spacing w:line="480" w:lineRule="auto"/>
        <w:ind w:firstLine="720"/>
        <w:jc w:val="both"/>
      </w:pPr>
      <w:r w:rsidRPr="007E4663">
        <w:t xml:space="preserve">Louisiana courts have not hesitated to nullify contracts running afoul of the mandatory standards governing the practice of law. The Louisiana Supreme Court expressly held in </w:t>
      </w:r>
      <w:r w:rsidRPr="007E4663">
        <w:rPr>
          <w:i/>
          <w:iCs/>
        </w:rPr>
        <w:t>...</w:t>
      </w:r>
    </w:p>
    <w:p w14:paraId="09ECAAC8" w14:textId="77777777" w:rsidR="00FD2F62" w:rsidRPr="007E4663" w:rsidRDefault="00FD2F62" w:rsidP="00FD2F62">
      <w:pPr>
        <w:widowControl/>
        <w:ind w:left="720" w:right="720"/>
        <w:jc w:val="both"/>
        <w:rPr>
          <w:iCs/>
        </w:rPr>
      </w:pPr>
      <w:r w:rsidRPr="007E4663">
        <w:rPr>
          <w:iCs/>
        </w:rPr>
        <w:t>The disciplinary rules are mandatory rules that provide the minimum level of conduct to which an attorney must conform without being subject to disciplinary action. When an attorney enters into a contract with his client in direct and flagrant violation of a disciplinary rule and a subsequent civil action raises the issue of enforcement (or annulment) of the contract, this court, in order to preserve the integrity of its inherent judicial power should prohibit the enforcement of the contract which directly contravenes the Code adopted by this court to regulate the practice of law. Otherwise, this court’s authority to regulate attorney conduct will be substantially undermined.</w:t>
      </w:r>
    </w:p>
    <w:p w14:paraId="57605E65" w14:textId="77777777" w:rsidR="00FD2F62" w:rsidRPr="007E4663" w:rsidRDefault="00FD2F62" w:rsidP="00FD2F62">
      <w:pPr>
        <w:widowControl/>
        <w:ind w:right="720"/>
        <w:jc w:val="both"/>
        <w:rPr>
          <w:iCs/>
        </w:rPr>
      </w:pPr>
    </w:p>
    <w:p w14:paraId="27123B2F" w14:textId="77777777" w:rsidR="00FD2F62" w:rsidRPr="007E4663" w:rsidRDefault="00FD2F62" w:rsidP="00FD2F62">
      <w:pPr>
        <w:widowControl/>
        <w:spacing w:line="480" w:lineRule="auto"/>
        <w:jc w:val="both"/>
      </w:pPr>
      <w:r w:rsidRPr="007E4663">
        <w:t xml:space="preserve">More recently, the Louisiana Supreme Court held that “[a]n attorney-client contract which directly violates a disciplinary rule is unenforceable.” </w:t>
      </w:r>
      <w:r w:rsidRPr="007E4663">
        <w:rPr>
          <w:i/>
        </w:rPr>
        <w:t>Hodges v. Reasonover</w:t>
      </w:r>
      <w:r w:rsidRPr="007E4663">
        <w:t xml:space="preserve">, 103 So.3d 1069, 1073 (La. 2012) (citing </w:t>
      </w:r>
      <w:r w:rsidRPr="007E4663">
        <w:rPr>
          <w:i/>
        </w:rPr>
        <w:t>Succession of Cloud</w:t>
      </w:r>
      <w:r w:rsidRPr="007E4663">
        <w:t>, 530 So.2d at 1150).</w:t>
      </w:r>
    </w:p>
    <w:p w14:paraId="01754289" w14:textId="77777777" w:rsidR="00FD2F62" w:rsidRPr="007E4663" w:rsidRDefault="00FD2F62" w:rsidP="00FD2F62">
      <w:pPr>
        <w:widowControl/>
        <w:spacing w:line="480" w:lineRule="auto"/>
        <w:ind w:firstLine="720"/>
        <w:jc w:val="both"/>
      </w:pPr>
      <w:r w:rsidRPr="007E4663">
        <w:t xml:space="preserve">Applying these principles, Louisiana courts hold that contracts involving lawyers with concurrent conflicts of interest to be absolutely null. In </w:t>
      </w:r>
      <w:r w:rsidRPr="007E4663">
        <w:rPr>
          <w:i/>
          <w:iCs/>
        </w:rPr>
        <w:t>Succession of Parham</w:t>
      </w:r>
      <w:r w:rsidRPr="007E4663">
        <w:t xml:space="preserve">, a lawyer violated Rule 1.8(c) by naming himself and his wife as legatees in a will that he drafted for a client. 755 So.2d 265, 270 (La. App. 1 Cir. 1999). Because the lawyer violated his Rule 1.8(c) duty of loyalty, the First Circuit held that the appointment of the lawyer (or his wife) as executor was an “absolutely null and void” transaction. </w:t>
      </w:r>
      <w:r w:rsidRPr="007E4663">
        <w:rPr>
          <w:i/>
          <w:iCs/>
        </w:rPr>
        <w:t>Id.</w:t>
      </w:r>
      <w:r w:rsidRPr="007E4663">
        <w:t xml:space="preserve"> The court held that a lawyer cannot “enforce or benefit from an agreement that contravenes the rules adopted by the Louisiana Supreme Court that regulate the practice of law.” </w:t>
      </w:r>
      <w:r w:rsidRPr="007E4663">
        <w:rPr>
          <w:i/>
          <w:iCs/>
        </w:rPr>
        <w:t>Id.</w:t>
      </w:r>
    </w:p>
    <w:p w14:paraId="5123B07D" w14:textId="7015C259" w:rsidR="006D1211" w:rsidRPr="007E4663" w:rsidRDefault="00CE03B4" w:rsidP="00CE03B4">
      <w:pPr>
        <w:widowControl/>
        <w:spacing w:line="480" w:lineRule="auto"/>
        <w:jc w:val="both"/>
        <w:rPr>
          <w:b/>
          <w:bCs/>
          <w:iCs/>
          <w:u w:val="single"/>
        </w:rPr>
      </w:pPr>
      <w:r w:rsidRPr="007E4663">
        <w:rPr>
          <w:b/>
          <w:bCs/>
          <w:iCs/>
          <w:u w:val="single"/>
        </w:rPr>
        <w:t>Criteria for Existence of Joint Venture</w:t>
      </w:r>
    </w:p>
    <w:bookmarkEnd w:id="0"/>
    <w:p w14:paraId="104D2B98" w14:textId="504FB2C9" w:rsidR="004D356D" w:rsidRPr="007E4663" w:rsidRDefault="00FD2F62" w:rsidP="004D356D">
      <w:pPr>
        <w:widowControl/>
        <w:spacing w:line="480" w:lineRule="auto"/>
        <w:ind w:firstLine="720"/>
        <w:jc w:val="both"/>
        <w:rPr>
          <w:iCs/>
        </w:rPr>
      </w:pPr>
      <w:r>
        <w:rPr>
          <w:iCs/>
        </w:rPr>
        <w:t xml:space="preserve">The trial court and the Fourth Circuit in </w:t>
      </w:r>
      <w:r>
        <w:rPr>
          <w:i/>
        </w:rPr>
        <w:t xml:space="preserve">Spears v. Hall </w:t>
      </w:r>
      <w:r>
        <w:rPr>
          <w:iCs/>
        </w:rPr>
        <w:t xml:space="preserve">held that Rule 1.5 does not prohibit a fee sharing agreement under a “joint venture agreement” even if that agreement would violate Rule 1.5.  </w:t>
      </w:r>
      <w:r w:rsidR="004D356D" w:rsidRPr="007E4663">
        <w:rPr>
          <w:iCs/>
        </w:rPr>
        <w:t xml:space="preserve">A joint venture results from the undertaking by two or more persons to combine their efforts, knowledge, property or labor to engage in and carry out a single business venture for joint profit. </w:t>
      </w:r>
      <w:r w:rsidR="004D356D" w:rsidRPr="007E4663">
        <w:rPr>
          <w:i/>
          <w:iCs/>
        </w:rPr>
        <w:t>Palmer v. Vermillion Home Builders, LLC</w:t>
      </w:r>
      <w:r w:rsidR="004D356D" w:rsidRPr="007E4663">
        <w:rPr>
          <w:iCs/>
        </w:rPr>
        <w:t>, 48,838</w:t>
      </w:r>
      <w:r w:rsidR="00AE2F38" w:rsidRPr="007E4663">
        <w:rPr>
          <w:iCs/>
        </w:rPr>
        <w:t>, 9-10</w:t>
      </w:r>
      <w:r w:rsidR="004D356D" w:rsidRPr="007E4663">
        <w:rPr>
          <w:iCs/>
        </w:rPr>
        <w:t xml:space="preserve"> (La.</w:t>
      </w:r>
      <w:r w:rsidR="00CE03B4" w:rsidRPr="007E4663">
        <w:rPr>
          <w:iCs/>
        </w:rPr>
        <w:t xml:space="preserve"> </w:t>
      </w:r>
      <w:r w:rsidR="004D356D" w:rsidRPr="007E4663">
        <w:rPr>
          <w:iCs/>
        </w:rPr>
        <w:t xml:space="preserve">App. 2 Cir. 2/26/14); 134 So.3d 1248, 1254. </w:t>
      </w:r>
    </w:p>
    <w:p w14:paraId="7CA9060D" w14:textId="50D86C2A" w:rsidR="00EE7C1A" w:rsidRPr="007E4663" w:rsidRDefault="00FD2F62" w:rsidP="00BE78B7">
      <w:pPr>
        <w:widowControl/>
        <w:spacing w:line="480" w:lineRule="auto"/>
        <w:ind w:firstLine="720"/>
        <w:jc w:val="both"/>
        <w:rPr>
          <w:iCs/>
        </w:rPr>
      </w:pPr>
      <w:r>
        <w:rPr>
          <w:iCs/>
        </w:rPr>
        <w:t>There is caselaw for the proposition that “</w:t>
      </w:r>
      <w:r w:rsidR="00223107" w:rsidRPr="007E4663">
        <w:rPr>
          <w:iCs/>
        </w:rPr>
        <w:t>the matter before us involves the special area of division of attorney fees, which constitutes an exception to the general rules concerning joint ventures.</w:t>
      </w:r>
      <w:r>
        <w:rPr>
          <w:iCs/>
        </w:rPr>
        <w:t xml:space="preserve">”  </w:t>
      </w:r>
      <w:r w:rsidR="00223107" w:rsidRPr="00FD2F62">
        <w:rPr>
          <w:i/>
        </w:rPr>
        <w:t>Robinson v. Thornton</w:t>
      </w:r>
      <w:r w:rsidR="00223107" w:rsidRPr="007E4663">
        <w:rPr>
          <w:iCs/>
        </w:rPr>
        <w:t>, 96-1329 (La. App. 3 Cir. 10/29/97), 705 So. 2d 745, 748</w:t>
      </w:r>
      <w:r>
        <w:rPr>
          <w:iCs/>
        </w:rPr>
        <w:t xml:space="preserve">.  </w:t>
      </w:r>
      <w:r w:rsidR="00392F72" w:rsidRPr="007E4663">
        <w:t xml:space="preserve">A joint venture is analogous to a partnership and controlled largely by the rules applicable to partnerships. </w:t>
      </w:r>
      <w:r w:rsidR="00EE7C1A" w:rsidRPr="007E4663">
        <w:rPr>
          <w:i/>
          <w:iCs/>
        </w:rPr>
        <w:t xml:space="preserve">Coffee Bay </w:t>
      </w:r>
      <w:proofErr w:type="spellStart"/>
      <w:r w:rsidR="00EE7C1A" w:rsidRPr="007E4663">
        <w:rPr>
          <w:i/>
          <w:iCs/>
        </w:rPr>
        <w:t>Invs</w:t>
      </w:r>
      <w:proofErr w:type="spellEnd"/>
      <w:r w:rsidR="00EE7C1A" w:rsidRPr="007E4663">
        <w:rPr>
          <w:i/>
          <w:iCs/>
        </w:rPr>
        <w:t>., L.L.C. v. W.O.G.C. Co</w:t>
      </w:r>
      <w:r w:rsidR="00EE7C1A" w:rsidRPr="007E4663">
        <w:t xml:space="preserve">., </w:t>
      </w:r>
      <w:r w:rsidR="0011689C" w:rsidRPr="007E4663">
        <w:t>2003-0406 (</w:t>
      </w:r>
      <w:proofErr w:type="spellStart"/>
      <w:r w:rsidR="0011689C" w:rsidRPr="007E4663">
        <w:t>La.App</w:t>
      </w:r>
      <w:proofErr w:type="spellEnd"/>
      <w:r w:rsidR="0011689C" w:rsidRPr="007E4663">
        <w:t>. 1 Cir. 4/2/04)</w:t>
      </w:r>
      <w:r w:rsidR="00FC7FFD" w:rsidRPr="007E4663">
        <w:t>;</w:t>
      </w:r>
      <w:r w:rsidR="0011689C" w:rsidRPr="007E4663">
        <w:t xml:space="preserve"> </w:t>
      </w:r>
      <w:r w:rsidR="00EE7C1A" w:rsidRPr="007E4663">
        <w:t xml:space="preserve">878 So.2d 665, 670. Thus, to establish the existence of a partnership or a joint venture, the petitioner must establish by a preponderance of the evidence “mutual risk vis-à-vis losses.” </w:t>
      </w:r>
      <w:r w:rsidR="0011689C" w:rsidRPr="007E4663">
        <w:rPr>
          <w:i/>
          <w:iCs/>
        </w:rPr>
        <w:t>Id.</w:t>
      </w:r>
      <w:r w:rsidR="00EE7C1A" w:rsidRPr="007E4663">
        <w:t xml:space="preserve">; La. Civ. Code art. 2801 (requiring that partners “collaborate at mutual risk”); </w:t>
      </w:r>
      <w:r w:rsidR="00EE7C1A" w:rsidRPr="007E4663">
        <w:rPr>
          <w:i/>
          <w:iCs/>
        </w:rPr>
        <w:t>see also</w:t>
      </w:r>
      <w:r w:rsidR="00EE7C1A" w:rsidRPr="007E4663">
        <w:t xml:space="preserve"> </w:t>
      </w:r>
      <w:r w:rsidR="00EE7C1A" w:rsidRPr="007E4663">
        <w:rPr>
          <w:i/>
          <w:iCs/>
        </w:rPr>
        <w:t>Orozco v. Aries Building Sys., Inc.</w:t>
      </w:r>
      <w:r w:rsidR="00EE7C1A" w:rsidRPr="007E4663">
        <w:t xml:space="preserve">, </w:t>
      </w:r>
      <w:r w:rsidR="00FC7FFD" w:rsidRPr="007E4663">
        <w:t>2016-0187 (</w:t>
      </w:r>
      <w:proofErr w:type="spellStart"/>
      <w:r w:rsidR="00FC7FFD" w:rsidRPr="007E4663">
        <w:t>La.App</w:t>
      </w:r>
      <w:proofErr w:type="spellEnd"/>
      <w:r w:rsidR="00FC7FFD" w:rsidRPr="007E4663">
        <w:t xml:space="preserve">. 4 Cir. 9/28/16); </w:t>
      </w:r>
      <w:r w:rsidR="00EE7C1A" w:rsidRPr="007E4663">
        <w:t>202 So.3d 1018, 1025 (finding no partnership because “record lacks any evidence to support a finding that [participants] . . .</w:t>
      </w:r>
      <w:r w:rsidR="001B5C78" w:rsidRPr="007E4663">
        <w:t xml:space="preserve"> </w:t>
      </w:r>
      <w:r w:rsidR="00EE7C1A" w:rsidRPr="007E4663">
        <w:t xml:space="preserve">shared in profits </w:t>
      </w:r>
      <w:r w:rsidR="00EE7C1A" w:rsidRPr="007E4663">
        <w:rPr>
          <w:i/>
          <w:iCs/>
        </w:rPr>
        <w:t>and losses</w:t>
      </w:r>
      <w:r w:rsidR="00EE7C1A" w:rsidRPr="007E4663">
        <w:t>”) (emphasis added).</w:t>
      </w:r>
      <w:r w:rsidR="0001597B" w:rsidRPr="007E4663">
        <w:t xml:space="preserve"> </w:t>
      </w:r>
    </w:p>
    <w:p w14:paraId="20594FB7" w14:textId="77777777" w:rsidR="00BE78B7" w:rsidRPr="007E4663" w:rsidRDefault="00BE78B7" w:rsidP="00BE78B7">
      <w:pPr>
        <w:widowControl/>
        <w:jc w:val="both"/>
        <w:rPr>
          <w:b/>
          <w:bCs/>
          <w:iCs/>
          <w:u w:val="single"/>
        </w:rPr>
      </w:pPr>
      <w:bookmarkStart w:id="1" w:name="_Toc137123017"/>
      <w:r w:rsidRPr="007E4663">
        <w:rPr>
          <w:b/>
          <w:bCs/>
          <w:iCs/>
          <w:u w:val="single"/>
        </w:rPr>
        <w:t>Claims of fiduciary duty between lawyers</w:t>
      </w:r>
    </w:p>
    <w:bookmarkEnd w:id="1"/>
    <w:p w14:paraId="57375CDF" w14:textId="77777777" w:rsidR="00EE1EAF" w:rsidRPr="007E4663" w:rsidRDefault="00EE1EAF" w:rsidP="00EE1EAF">
      <w:pPr>
        <w:widowControl/>
        <w:jc w:val="both"/>
        <w:rPr>
          <w:b/>
          <w:bCs/>
          <w:iCs/>
        </w:rPr>
      </w:pPr>
    </w:p>
    <w:p w14:paraId="75958206" w14:textId="0784FB4C" w:rsidR="00EE7C1A" w:rsidRPr="007E4663" w:rsidRDefault="00EE7C1A" w:rsidP="00EE1EAF">
      <w:pPr>
        <w:widowControl/>
        <w:spacing w:line="480" w:lineRule="auto"/>
        <w:ind w:firstLine="720"/>
        <w:jc w:val="both"/>
      </w:pPr>
      <w:r w:rsidRPr="007E4663">
        <w:t>Louisiana law</w:t>
      </w:r>
      <w:r w:rsidR="00BE78B7" w:rsidRPr="007E4663">
        <w:t xml:space="preserve"> is settled that one attorney does not have a</w:t>
      </w:r>
      <w:r w:rsidRPr="007E4663">
        <w:t xml:space="preserve"> duty to protect </w:t>
      </w:r>
      <w:r w:rsidR="00BE78B7" w:rsidRPr="007E4663">
        <w:t>another lawyer’s</w:t>
      </w:r>
      <w:r w:rsidRPr="007E4663">
        <w:t xml:space="preserve"> prospective interest in a fee</w:t>
      </w:r>
      <w:r w:rsidR="00E63472" w:rsidRPr="007E4663">
        <w:t xml:space="preserve">. </w:t>
      </w:r>
      <w:r w:rsidR="00BE78B7" w:rsidRPr="007E4663">
        <w:t xml:space="preserve"> </w:t>
      </w:r>
      <w:r w:rsidRPr="007E4663">
        <w:rPr>
          <w:i/>
          <w:iCs/>
        </w:rPr>
        <w:t xml:space="preserve">Scheffler v. Adams and Reese, LLP, </w:t>
      </w:r>
      <w:r w:rsidRPr="007E4663">
        <w:t>950 So.2d 641 (La. 2007)</w:t>
      </w:r>
      <w:r w:rsidR="00D67E58" w:rsidRPr="007E4663">
        <w:t>. In</w:t>
      </w:r>
      <w:r w:rsidR="006B7803" w:rsidRPr="007E4663">
        <w:t xml:space="preserve"> </w:t>
      </w:r>
      <w:r w:rsidR="006B7803" w:rsidRPr="007E4663">
        <w:rPr>
          <w:i/>
          <w:iCs/>
        </w:rPr>
        <w:t>Scheffler</w:t>
      </w:r>
      <w:r w:rsidRPr="007E4663">
        <w:t xml:space="preserve">, </w:t>
      </w:r>
      <w:r w:rsidR="00D67E58" w:rsidRPr="007E4663">
        <w:t xml:space="preserve">attorney </w:t>
      </w:r>
      <w:r w:rsidRPr="007E4663">
        <w:t>Scheffler represented Boomtown Casino in the defense of personal injury claims after being approved by the corporate counsel of the casino, Adams and Reese. Scheffler</w:t>
      </w:r>
      <w:r w:rsidR="00E63472" w:rsidRPr="007E4663">
        <w:t>’</w:t>
      </w:r>
      <w:r w:rsidRPr="007E4663">
        <w:t>s representation of the casino was terminated due in part to allegations of wrongdoing against an Adams and Reese lawyer. Scheffler then sued Adams and Reese asserting claims that the firm breached a “fiduciary duty” owed to him. The Supreme Court granted certiorari and held as follows:</w:t>
      </w:r>
    </w:p>
    <w:p w14:paraId="31473A50" w14:textId="7D101D6B" w:rsidR="00EE7C1A" w:rsidRPr="007E4663" w:rsidRDefault="00EE7C1A" w:rsidP="0042394C">
      <w:pPr>
        <w:widowControl/>
        <w:ind w:left="720" w:right="720"/>
        <w:jc w:val="both"/>
      </w:pPr>
      <w:r w:rsidRPr="007E4663">
        <w:rPr>
          <w:iCs/>
        </w:rPr>
        <w:t xml:space="preserve">[W]e hold that, as a matter of public policy, based on our authority to regulate the practice of law pursuant to the constitution, </w:t>
      </w:r>
      <w:r w:rsidRPr="007E4663">
        <w:rPr>
          <w:i/>
        </w:rPr>
        <w:t>no cause of action will exist between co-counsel based on the theory that co-counsel has a fiduciary duty to protect one another</w:t>
      </w:r>
      <w:r w:rsidR="00660957" w:rsidRPr="007E4663">
        <w:rPr>
          <w:i/>
        </w:rPr>
        <w:t>’</w:t>
      </w:r>
      <w:r w:rsidRPr="007E4663">
        <w:rPr>
          <w:i/>
        </w:rPr>
        <w:t>s prospective interests in a fee.</w:t>
      </w:r>
      <w:r w:rsidRPr="007E4663">
        <w:rPr>
          <w:iCs/>
        </w:rPr>
        <w:t xml:space="preserve"> To allow such an action would be to subject an attorney to potential conflicts of interest in trying to serve two masters and potentially compromise the attorney</w:t>
      </w:r>
      <w:r w:rsidR="00E63472" w:rsidRPr="007E4663">
        <w:rPr>
          <w:iCs/>
        </w:rPr>
        <w:t>’</w:t>
      </w:r>
      <w:r w:rsidRPr="007E4663">
        <w:rPr>
          <w:iCs/>
        </w:rPr>
        <w:t>s paramount duty to serve the best interest of the client.</w:t>
      </w:r>
      <w:r w:rsidR="0042394C" w:rsidRPr="007E4663">
        <w:rPr>
          <w:iCs/>
        </w:rPr>
        <w:t xml:space="preserve"> </w:t>
      </w:r>
      <w:r w:rsidRPr="007E4663">
        <w:t>950 So.2d at 653</w:t>
      </w:r>
      <w:r w:rsidR="00660957" w:rsidRPr="007E4663">
        <w:t xml:space="preserve"> (emphasis added)</w:t>
      </w:r>
      <w:r w:rsidRPr="007E4663">
        <w:t>.</w:t>
      </w:r>
    </w:p>
    <w:p w14:paraId="334B9C45" w14:textId="77777777" w:rsidR="0042394C" w:rsidRPr="007E4663" w:rsidRDefault="0042394C" w:rsidP="0042394C">
      <w:pPr>
        <w:widowControl/>
        <w:ind w:left="720" w:right="720"/>
        <w:jc w:val="both"/>
      </w:pPr>
    </w:p>
    <w:p w14:paraId="18092F05" w14:textId="354D7CF6" w:rsidR="00624395" w:rsidRPr="007E4663" w:rsidRDefault="00EE7C1A" w:rsidP="00624395">
      <w:pPr>
        <w:widowControl/>
        <w:spacing w:line="480" w:lineRule="auto"/>
        <w:ind w:firstLine="720"/>
        <w:jc w:val="both"/>
      </w:pPr>
      <w:r w:rsidRPr="007E4663">
        <w:t xml:space="preserve">The Louisiana Supreme Court’s decision in </w:t>
      </w:r>
      <w:r w:rsidRPr="007E4663">
        <w:rPr>
          <w:i/>
          <w:iCs/>
        </w:rPr>
        <w:t xml:space="preserve">Scheffler </w:t>
      </w:r>
      <w:r w:rsidRPr="007E4663">
        <w:t>holds that no such duties exist as between co-counsel. Said the court: “[W]e hold that even if the existence of a fiduciary relationship could be established, no cause of action will lie between co-counsel based on the theory that such a fiduciary relationship obligates co-counsel to protect one another's prospective interest in a fee.” 950 So.2d at 644.</w:t>
      </w:r>
      <w:bookmarkStart w:id="2" w:name="_Toc137123019"/>
    </w:p>
    <w:bookmarkEnd w:id="2"/>
    <w:p w14:paraId="2DC0D748" w14:textId="414742D7" w:rsidR="00773614" w:rsidRPr="007E4663" w:rsidRDefault="00773614" w:rsidP="00773614">
      <w:pPr>
        <w:widowControl/>
        <w:spacing w:line="480" w:lineRule="auto"/>
        <w:jc w:val="both"/>
        <w:rPr>
          <w:b/>
          <w:bCs/>
          <w:u w:val="single"/>
        </w:rPr>
      </w:pPr>
      <w:r w:rsidRPr="007E4663">
        <w:rPr>
          <w:b/>
          <w:bCs/>
          <w:u w:val="single"/>
        </w:rPr>
        <w:t>Fee Sharing with Non-Lawyers</w:t>
      </w:r>
    </w:p>
    <w:p w14:paraId="46A06AA1" w14:textId="6C2ED9DF" w:rsidR="00773614" w:rsidRDefault="00DB57B3" w:rsidP="00773614">
      <w:pPr>
        <w:widowControl/>
        <w:spacing w:line="480" w:lineRule="auto"/>
        <w:jc w:val="both"/>
      </w:pPr>
      <w:r>
        <w:tab/>
        <w:t xml:space="preserve">The basic premise at issue currently before the Supreme Court is whether a “joint venture agreement” can be used to create a legally enforceable fee contract that is outside of the application of Rule 1.5(e).  The Supreme Court will decide whether two lawyers can enter a joint venture agreement, thereby circumventing Rule 1.5.  Should that occur, a question perhaps arises whether other agreements can be made that would be allowed and legally enforceable through the use of these “joint venture” arrangements.  Specifically, could a lawyer enter a joint venture agreement with a non-lawyer for the sharing of fees and have that agreement be legally enforceable?  Logic would suggest that this is a distinct possibility.  </w:t>
      </w:r>
    </w:p>
    <w:p w14:paraId="52234A67" w14:textId="026B38A7" w:rsidR="00773614" w:rsidRPr="00207CEE" w:rsidRDefault="00DB57B3" w:rsidP="00773614">
      <w:pPr>
        <w:widowControl/>
        <w:spacing w:line="480" w:lineRule="auto"/>
        <w:jc w:val="both"/>
        <w:rPr>
          <w:i/>
          <w:iCs/>
        </w:rPr>
      </w:pPr>
      <w:r>
        <w:tab/>
        <w:t xml:space="preserve">The challenge that then arises is that prior attorneys have been disciplined and even lost their licenses for compensating non-lawyers with legal fees.  One of the well-known advertising law firms in this state was conceived due to that very issue.  Attorney, E. Eric Guirard was disbarred predominantly due to the bonus and commission structure he employed for the non-lawyer staff members of his law firm.  </w:t>
      </w:r>
      <w:r w:rsidR="00207CEE">
        <w:t>He paid “case managers commissions on gross legal fees, and thereby shared legal fees with non-lawyers, i</w:t>
      </w:r>
      <w:r w:rsidR="00773614" w:rsidRPr="007E4663">
        <w:t>n violation of Rules 5.4(a) and 8.4(a) of the Rules of Professional Conduct8.4(a) of the Rules of Professional Conduct.</w:t>
      </w:r>
      <w:r w:rsidR="00207CEE">
        <w:t xml:space="preserve">”  </w:t>
      </w:r>
      <w:r w:rsidR="00773614" w:rsidRPr="00207CEE">
        <w:rPr>
          <w:i/>
          <w:iCs/>
        </w:rPr>
        <w:t>In re Guirard</w:t>
      </w:r>
      <w:r w:rsidR="00773614" w:rsidRPr="007E4663">
        <w:t xml:space="preserve">, 2008-2621 (La. 5/5/09), 11 So. 3d 1017, 1021, </w:t>
      </w:r>
      <w:r w:rsidR="00773614" w:rsidRPr="00207CEE">
        <w:rPr>
          <w:i/>
          <w:iCs/>
        </w:rPr>
        <w:t>reinstatement granted</w:t>
      </w:r>
      <w:r w:rsidR="00773614" w:rsidRPr="007E4663">
        <w:t>, 2016-0397 (La. 4/22/16), 192 So. 3d 723</w:t>
      </w:r>
      <w:r w:rsidR="00207CEE">
        <w:t xml:space="preserve">.  </w:t>
      </w:r>
      <w:r w:rsidR="00773614" w:rsidRPr="007E4663">
        <w:t>Rule 5.4(a) provides, in part, that a lawyer or law firm shall not share legal fees with a nonlawyer, except that a lawyer or law firm may include nonlawyer employees in a compensation or retirement plan, even though the plan is based in whole or part on a profit-sharing practice of law.</w:t>
      </w:r>
      <w:r w:rsidR="00207CEE">
        <w:t xml:space="preserve">  </w:t>
      </w:r>
      <w:r w:rsidR="00773614" w:rsidRPr="007E4663">
        <w:rPr>
          <w:i/>
          <w:iCs/>
        </w:rPr>
        <w:t xml:space="preserve">Id.  </w:t>
      </w:r>
      <w:r w:rsidR="00207CEE">
        <w:t xml:space="preserve">Depending on the decision of the Louisiana Supreme Court, a question arises whether such a compensation system could remain legally enforceable if the lawyer employs a “joint venture agreement” to accomplish the same goal.  This remains an unanswered question until the Louisiana Supreme Court renders its decision in </w:t>
      </w:r>
      <w:r w:rsidR="00207CEE">
        <w:rPr>
          <w:i/>
          <w:iCs/>
        </w:rPr>
        <w:t xml:space="preserve">Spears v. Hall.  </w:t>
      </w:r>
    </w:p>
    <w:sectPr w:rsidR="00773614" w:rsidRPr="00207CEE" w:rsidSect="00EB271D">
      <w:footerReference w:type="default" r:id="rId10"/>
      <w:pgSz w:w="12240" w:h="2016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7DA8" w14:textId="77777777" w:rsidR="009B7108" w:rsidRDefault="009B7108" w:rsidP="00017B7B">
      <w:r>
        <w:separator/>
      </w:r>
    </w:p>
  </w:endnote>
  <w:endnote w:type="continuationSeparator" w:id="0">
    <w:p w14:paraId="729D9F5F" w14:textId="77777777" w:rsidR="009B7108" w:rsidRDefault="009B7108" w:rsidP="00017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458533"/>
      <w:docPartObj>
        <w:docPartGallery w:val="Page Numbers (Bottom of Page)"/>
        <w:docPartUnique/>
      </w:docPartObj>
    </w:sdtPr>
    <w:sdtEndPr/>
    <w:sdtContent>
      <w:sdt>
        <w:sdtPr>
          <w:id w:val="1728636285"/>
          <w:docPartObj>
            <w:docPartGallery w:val="Page Numbers (Top of Page)"/>
            <w:docPartUnique/>
          </w:docPartObj>
        </w:sdtPr>
        <w:sdtEndPr/>
        <w:sdtContent>
          <w:p w14:paraId="1372DFC8" w14:textId="049DB313" w:rsidR="00DA211B" w:rsidRPr="00DA211B" w:rsidRDefault="00DA211B">
            <w:pPr>
              <w:pStyle w:val="Footer"/>
              <w:jc w:val="center"/>
            </w:pPr>
            <w:r w:rsidRPr="00DA211B">
              <w:t xml:space="preserve">Page </w:t>
            </w:r>
            <w:r w:rsidRPr="00DA211B">
              <w:fldChar w:fldCharType="begin"/>
            </w:r>
            <w:r w:rsidRPr="00DA211B">
              <w:instrText xml:space="preserve"> PAGE </w:instrText>
            </w:r>
            <w:r w:rsidRPr="00DA211B">
              <w:fldChar w:fldCharType="separate"/>
            </w:r>
            <w:r w:rsidRPr="00DA211B">
              <w:rPr>
                <w:noProof/>
              </w:rPr>
              <w:t>2</w:t>
            </w:r>
            <w:r w:rsidRPr="00DA211B">
              <w:fldChar w:fldCharType="end"/>
            </w:r>
            <w:r w:rsidRPr="00DA211B">
              <w:t xml:space="preserve"> of </w:t>
            </w:r>
            <w:fldSimple w:instr=" NUMPAGES  ">
              <w:r w:rsidRPr="00DA211B">
                <w:rPr>
                  <w:noProof/>
                </w:rPr>
                <w:t>2</w:t>
              </w:r>
            </w:fldSimple>
          </w:p>
        </w:sdtContent>
      </w:sdt>
    </w:sdtContent>
  </w:sdt>
  <w:p w14:paraId="77C8F7D5" w14:textId="77777777" w:rsidR="00017B7B" w:rsidRDefault="00017B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99D3" w14:textId="77777777" w:rsidR="009B7108" w:rsidRDefault="009B7108" w:rsidP="00017B7B">
      <w:r>
        <w:separator/>
      </w:r>
    </w:p>
  </w:footnote>
  <w:footnote w:type="continuationSeparator" w:id="0">
    <w:p w14:paraId="720F0C00" w14:textId="77777777" w:rsidR="009B7108" w:rsidRDefault="009B7108" w:rsidP="00017B7B">
      <w:r>
        <w:continuationSeparator/>
      </w:r>
    </w:p>
  </w:footnote>
  <w:footnote w:id="1">
    <w:p w14:paraId="682613D7" w14:textId="77777777" w:rsidR="00F52531" w:rsidRDefault="00F52531" w:rsidP="00F52531">
      <w:pPr>
        <w:pStyle w:val="FootnoteText"/>
        <w:jc w:val="both"/>
      </w:pPr>
      <w:r>
        <w:rPr>
          <w:rStyle w:val="FootnoteReference"/>
        </w:rPr>
        <w:footnoteRef/>
      </w:r>
      <w:r>
        <w:t xml:space="preserve"> Judge Paula A. Brown authored the plurality opinion. Judge Sandra Cabrina Jenkins and Judge Karen K. Herman concurred “IN THE RESULT” without assigning reasons.</w:t>
      </w:r>
    </w:p>
  </w:footnote>
  <w:footnote w:id="2">
    <w:p w14:paraId="4E44573E" w14:textId="77777777" w:rsidR="00C17CFC" w:rsidRPr="003051F9" w:rsidRDefault="00C17CFC" w:rsidP="00C17CFC">
      <w:pPr>
        <w:pStyle w:val="FootnoteText"/>
        <w:jc w:val="both"/>
        <w:rPr>
          <w:szCs w:val="24"/>
        </w:rPr>
      </w:pPr>
      <w:r w:rsidRPr="003051F9">
        <w:rPr>
          <w:rStyle w:val="FootnoteReference"/>
          <w:szCs w:val="24"/>
        </w:rPr>
        <w:footnoteRef/>
      </w:r>
      <w:r w:rsidRPr="003051F9">
        <w:rPr>
          <w:szCs w:val="24"/>
        </w:rPr>
        <w:t xml:space="preserve"> </w:t>
      </w:r>
      <w:r w:rsidRPr="003051F9">
        <w:rPr>
          <w:i/>
          <w:szCs w:val="24"/>
        </w:rPr>
        <w:t>See, e.g.</w:t>
      </w:r>
      <w:r w:rsidRPr="003051F9">
        <w:rPr>
          <w:szCs w:val="24"/>
        </w:rPr>
        <w:t xml:space="preserve">, </w:t>
      </w:r>
      <w:r w:rsidRPr="003051F9">
        <w:rPr>
          <w:i/>
          <w:szCs w:val="24"/>
        </w:rPr>
        <w:t>id.,</w:t>
      </w:r>
      <w:r w:rsidRPr="003051F9">
        <w:rPr>
          <w:szCs w:val="24"/>
        </w:rPr>
        <w:t xml:space="preserve"> </w:t>
      </w:r>
      <w:r>
        <w:rPr>
          <w:szCs w:val="24"/>
        </w:rPr>
        <w:t>Rule</w:t>
      </w:r>
      <w:r w:rsidRPr="003051F9">
        <w:rPr>
          <w:szCs w:val="24"/>
        </w:rPr>
        <w:t xml:space="preserve"> 5.4 (Professional Independence of a Lawyer)</w:t>
      </w:r>
      <w:r>
        <w:rPr>
          <w:szCs w:val="24"/>
        </w:rPr>
        <w:fldChar w:fldCharType="begin"/>
      </w:r>
      <w:r>
        <w:instrText xml:space="preserve"> TA \l "</w:instrText>
      </w:r>
      <w:r w:rsidRPr="00FA6C27">
        <w:instrText>La. Rules of Prof’l Cond. r. 5.4</w:instrText>
      </w:r>
      <w:r>
        <w:instrText xml:space="preserve">" \s "La. Rules of Prof’l Cond. r. 5.4" \c 4 </w:instrText>
      </w:r>
      <w:r>
        <w:rPr>
          <w:szCs w:val="24"/>
        </w:rPr>
        <w:fldChar w:fldCharType="end"/>
      </w:r>
      <w:r w:rsidRPr="003051F9">
        <w:rPr>
          <w:szCs w:val="24"/>
        </w:rPr>
        <w:t>.</w:t>
      </w:r>
    </w:p>
  </w:footnote>
  <w:footnote w:id="3">
    <w:p w14:paraId="518781D2" w14:textId="77777777" w:rsidR="00C17CFC" w:rsidRDefault="00C17CFC" w:rsidP="00C17CFC">
      <w:pPr>
        <w:pStyle w:val="FootnoteText"/>
      </w:pPr>
      <w:r>
        <w:rPr>
          <w:rStyle w:val="FootnoteReference"/>
        </w:rPr>
        <w:footnoteRef/>
      </w:r>
      <w:r>
        <w:t xml:space="preserve"> </w:t>
      </w:r>
      <w:r w:rsidRPr="00B170D4">
        <w:rPr>
          <w:rStyle w:val="Emphasis"/>
        </w:rPr>
        <w:t>See, e.g.</w:t>
      </w:r>
      <w:r w:rsidRPr="0006115E">
        <w:rPr>
          <w:szCs w:val="28"/>
        </w:rPr>
        <w:t xml:space="preserve">, </w:t>
      </w:r>
      <w:r w:rsidRPr="001A7F40">
        <w:rPr>
          <w:rStyle w:val="Emphasis"/>
        </w:rPr>
        <w:t>L</w:t>
      </w:r>
      <w:r>
        <w:rPr>
          <w:rStyle w:val="Emphasis"/>
        </w:rPr>
        <w:t>a.</w:t>
      </w:r>
      <w:r w:rsidRPr="001A7F40">
        <w:rPr>
          <w:rStyle w:val="Emphasis"/>
        </w:rPr>
        <w:t xml:space="preserve"> Claims Adjustment Bureau v. State Farm Insurance Co</w:t>
      </w:r>
      <w:r>
        <w:rPr>
          <w:rStyle w:val="Emphasis"/>
        </w:rPr>
        <w:t>.</w:t>
      </w:r>
      <w:r w:rsidRPr="0006115E">
        <w:rPr>
          <w:szCs w:val="28"/>
        </w:rPr>
        <w:t>, 877 So. 2d 294, 299 (</w:t>
      </w:r>
      <w:r>
        <w:rPr>
          <w:szCs w:val="28"/>
        </w:rPr>
        <w:t>La. Ct. App. 2d Cir</w:t>
      </w:r>
      <w:r w:rsidRPr="0006115E">
        <w:rPr>
          <w:szCs w:val="28"/>
        </w:rPr>
        <w:t>. 2004)</w:t>
      </w:r>
      <w:r>
        <w:rPr>
          <w:szCs w:val="28"/>
        </w:rPr>
        <w:fldChar w:fldCharType="begin"/>
      </w:r>
      <w:r>
        <w:instrText xml:space="preserve"> TA \l "</w:instrText>
      </w:r>
      <w:r w:rsidRPr="00C34E86">
        <w:rPr>
          <w:rStyle w:val="Emphasis"/>
        </w:rPr>
        <w:instrText>La. Claims Adjustment Bureau v. State Farm Insurance Co.,</w:instrText>
      </w:r>
      <w:r>
        <w:rPr>
          <w:rStyle w:val="Emphasis"/>
        </w:rPr>
        <w:instrText xml:space="preserve"> </w:instrText>
      </w:r>
      <w:r w:rsidRPr="00F913BC">
        <w:rPr>
          <w:szCs w:val="28"/>
        </w:rPr>
        <w:instrText>77 So. 2d 294 (La. Ct. App. 2d Cir. 2004)</w:instrText>
      </w:r>
      <w:r>
        <w:instrText>" \s "</w:instrText>
      </w:r>
      <w:r w:rsidRPr="00F47D56">
        <w:rPr>
          <w:i/>
          <w:iCs/>
        </w:rPr>
        <w:instrText>Louisiana Claims Adjustment Bureau v. State Farm Insurance Company</w:instrText>
      </w:r>
      <w:r>
        <w:instrText xml:space="preserve">, 877 So. 2d 294, 299 (La. Ct. App. 2d Cir. 2004)" \c 1 </w:instrText>
      </w:r>
      <w:r>
        <w:rPr>
          <w:szCs w:val="28"/>
        </w:rPr>
        <w:fldChar w:fldCharType="end"/>
      </w:r>
      <w:r w:rsidRPr="0006115E">
        <w:rPr>
          <w:szCs w:val="28"/>
        </w:rPr>
        <w:t xml:space="preserve">; </w:t>
      </w:r>
      <w:r w:rsidRPr="001A7F40">
        <w:rPr>
          <w:rStyle w:val="Emphasis"/>
        </w:rPr>
        <w:t>Meunier v. Bernich</w:t>
      </w:r>
      <w:r w:rsidRPr="0006115E">
        <w:rPr>
          <w:szCs w:val="28"/>
        </w:rPr>
        <w:t>, 170 So. 567 (</w:t>
      </w:r>
      <w:r>
        <w:rPr>
          <w:szCs w:val="28"/>
        </w:rPr>
        <w:t xml:space="preserve">La. Ct. App. </w:t>
      </w:r>
      <w:r w:rsidRPr="0006115E">
        <w:rPr>
          <w:szCs w:val="28"/>
        </w:rPr>
        <w:t>Orleans 1936)</w:t>
      </w:r>
      <w:r>
        <w:rPr>
          <w:szCs w:val="28"/>
        </w:rPr>
        <w:fldChar w:fldCharType="begin"/>
      </w:r>
      <w:r>
        <w:instrText xml:space="preserve"> TA \l "</w:instrText>
      </w:r>
      <w:r w:rsidRPr="005B0650">
        <w:rPr>
          <w:rStyle w:val="Emphasis"/>
        </w:rPr>
        <w:instrText>Meunier v. Bernich</w:instrText>
      </w:r>
      <w:r w:rsidRPr="005B0650">
        <w:rPr>
          <w:i/>
          <w:iCs/>
          <w:szCs w:val="28"/>
        </w:rPr>
        <w:instrText xml:space="preserve">, </w:instrText>
      </w:r>
      <w:r w:rsidRPr="00F913BC">
        <w:rPr>
          <w:szCs w:val="28"/>
        </w:rPr>
        <w:instrText>170 So. 567 (La. Ct. App. Orleans 1936)</w:instrText>
      </w:r>
      <w:r>
        <w:instrText>" \s "</w:instrText>
      </w:r>
      <w:r w:rsidRPr="00F47D56">
        <w:rPr>
          <w:i/>
          <w:iCs/>
        </w:rPr>
        <w:instrText>Meunier v. Bernich</w:instrText>
      </w:r>
      <w:r>
        <w:instrText xml:space="preserve">, 170 So. 567 (La. Ct. App. Orleans 1936)" \c 1 </w:instrText>
      </w:r>
      <w:r>
        <w:rPr>
          <w:szCs w:val="28"/>
        </w:rPr>
        <w:fldChar w:fldCharType="end"/>
      </w:r>
      <w:r w:rsidRPr="0006115E">
        <w:rPr>
          <w:szCs w:val="28"/>
        </w:rPr>
        <w:t xml:space="preserve">; </w:t>
      </w:r>
      <w:r w:rsidRPr="001A7F40">
        <w:rPr>
          <w:rStyle w:val="Emphasis"/>
        </w:rPr>
        <w:t>Gray v. Atkins</w:t>
      </w:r>
      <w:r w:rsidRPr="0006115E">
        <w:rPr>
          <w:szCs w:val="28"/>
        </w:rPr>
        <w:t>, 331 So. 2d 157, 165-66 (</w:t>
      </w:r>
      <w:r>
        <w:rPr>
          <w:szCs w:val="28"/>
        </w:rPr>
        <w:t>La. Ct. App. 3d Cir</w:t>
      </w:r>
      <w:r w:rsidRPr="0006115E">
        <w:rPr>
          <w:szCs w:val="28"/>
        </w:rPr>
        <w:t>. 1976)</w:t>
      </w:r>
      <w:r>
        <w:rPr>
          <w:szCs w:val="28"/>
        </w:rPr>
        <w:fldChar w:fldCharType="begin"/>
      </w:r>
      <w:r>
        <w:instrText xml:space="preserve"> TA \l "</w:instrText>
      </w:r>
      <w:r w:rsidRPr="005C6B1A">
        <w:rPr>
          <w:rStyle w:val="Emphasis"/>
        </w:rPr>
        <w:instrText>Gray v. Atkins</w:instrText>
      </w:r>
      <w:r w:rsidRPr="005C6B1A">
        <w:rPr>
          <w:i/>
          <w:iCs/>
          <w:szCs w:val="28"/>
        </w:rPr>
        <w:instrText xml:space="preserve">, </w:instrText>
      </w:r>
      <w:r w:rsidRPr="00F913BC">
        <w:rPr>
          <w:szCs w:val="28"/>
        </w:rPr>
        <w:instrText>331 So. 2d 157 (La. Ct. App. 3d Cir. 1976)</w:instrText>
      </w:r>
      <w:r>
        <w:instrText>" \s "</w:instrText>
      </w:r>
      <w:r w:rsidRPr="00F47D56">
        <w:rPr>
          <w:i/>
          <w:iCs/>
        </w:rPr>
        <w:instrText>Gray v. Atkins</w:instrText>
      </w:r>
      <w:r>
        <w:instrText xml:space="preserve">, 331 So. 2d 157, 165-66 (La. Ct. App. 3d Cir. 1976)" \c 1 </w:instrText>
      </w:r>
      <w:r>
        <w:rPr>
          <w:szCs w:val="28"/>
        </w:rPr>
        <w:fldChar w:fldCharType="end"/>
      </w:r>
      <w:r w:rsidRPr="0006115E">
        <w:rPr>
          <w:szCs w:val="28"/>
        </w:rPr>
        <w:t xml:space="preserve">; </w:t>
      </w:r>
      <w:r w:rsidRPr="001A7F40">
        <w:rPr>
          <w:rStyle w:val="Emphasis"/>
        </w:rPr>
        <w:t>Dunn v. Land &amp; Marin Props., Inc.</w:t>
      </w:r>
      <w:r w:rsidRPr="0006115E">
        <w:rPr>
          <w:szCs w:val="28"/>
        </w:rPr>
        <w:t>, 609 So. 2d 284, 290 (</w:t>
      </w:r>
      <w:r>
        <w:rPr>
          <w:szCs w:val="28"/>
        </w:rPr>
        <w:t>La. Ct. App. 3d Cir</w:t>
      </w:r>
      <w:r w:rsidRPr="0006115E">
        <w:rPr>
          <w:szCs w:val="28"/>
        </w:rPr>
        <w:t>. 1992)</w:t>
      </w:r>
      <w:r>
        <w:rPr>
          <w:szCs w:val="28"/>
        </w:rPr>
        <w:fldChar w:fldCharType="begin"/>
      </w:r>
      <w:r>
        <w:instrText xml:space="preserve"> TA \l "</w:instrText>
      </w:r>
      <w:r w:rsidRPr="00C34E86">
        <w:rPr>
          <w:rStyle w:val="Emphasis"/>
        </w:rPr>
        <w:instrText>Dunn v. Land &amp; Marin Props., Inc.</w:instrText>
      </w:r>
      <w:r w:rsidRPr="00C34E86">
        <w:rPr>
          <w:i/>
          <w:iCs/>
          <w:szCs w:val="28"/>
        </w:rPr>
        <w:instrText xml:space="preserve">, </w:instrText>
      </w:r>
      <w:r w:rsidRPr="00F913BC">
        <w:rPr>
          <w:szCs w:val="28"/>
        </w:rPr>
        <w:instrText>609 So. 2d 284 (La. Ct. App. 3d Cir. 1992)</w:instrText>
      </w:r>
      <w:r>
        <w:instrText>" \s "</w:instrText>
      </w:r>
      <w:r w:rsidRPr="00296DD2">
        <w:rPr>
          <w:i/>
          <w:iCs/>
        </w:rPr>
        <w:instrText>Dunn v. Land &amp; Marin Props., Inc</w:instrText>
      </w:r>
      <w:r>
        <w:instrText xml:space="preserve">., 609 So. 2d 284, 290 (La. Ct. App. 3d Cir. 1992)" \c 1 </w:instrText>
      </w:r>
      <w:r>
        <w:rPr>
          <w:szCs w:val="28"/>
        </w:rPr>
        <w:fldChar w:fldCharType="end"/>
      </w:r>
      <w:r w:rsidRPr="0006115E">
        <w:rPr>
          <w:szCs w:val="28"/>
        </w:rPr>
        <w:t xml:space="preserve">; </w:t>
      </w:r>
      <w:r w:rsidRPr="001A7F40">
        <w:rPr>
          <w:rStyle w:val="Emphasis"/>
        </w:rPr>
        <w:t>Crocker v. Levy</w:t>
      </w:r>
      <w:r w:rsidRPr="0006115E">
        <w:rPr>
          <w:szCs w:val="28"/>
        </w:rPr>
        <w:t>, 615 So. 2d 918, 921 (</w:t>
      </w:r>
      <w:r>
        <w:rPr>
          <w:szCs w:val="28"/>
        </w:rPr>
        <w:t>La. Ct. App. 1st Cir</w:t>
      </w:r>
      <w:r w:rsidRPr="0006115E">
        <w:rPr>
          <w:szCs w:val="28"/>
        </w:rPr>
        <w:t>. 1993)</w:t>
      </w:r>
      <w:r>
        <w:rPr>
          <w:szCs w:val="28"/>
        </w:rPr>
        <w:fldChar w:fldCharType="begin"/>
      </w:r>
      <w:r>
        <w:instrText xml:space="preserve"> TA \l "</w:instrText>
      </w:r>
      <w:r w:rsidRPr="00C34E86">
        <w:rPr>
          <w:rStyle w:val="Emphasis"/>
        </w:rPr>
        <w:instrText>Crocker v. Levy</w:instrText>
      </w:r>
      <w:r w:rsidRPr="00C34E86">
        <w:rPr>
          <w:i/>
          <w:iCs/>
          <w:szCs w:val="28"/>
        </w:rPr>
        <w:instrText>,</w:instrText>
      </w:r>
      <w:r w:rsidRPr="00F913BC">
        <w:rPr>
          <w:szCs w:val="28"/>
        </w:rPr>
        <w:instrText xml:space="preserve"> 615 So. 2d 918 (La. Ct. App. 1st Cir. 1993)</w:instrText>
      </w:r>
      <w:r>
        <w:instrText>" \s "</w:instrText>
      </w:r>
      <w:r w:rsidRPr="00296DD2">
        <w:rPr>
          <w:i/>
          <w:iCs/>
        </w:rPr>
        <w:instrText>Crocker v. Levy</w:instrText>
      </w:r>
      <w:r>
        <w:instrText xml:space="preserve">, 615 So. 2d 918, 921 (La. Ct. App. 1st Cir. 1993)" \c 1 </w:instrText>
      </w:r>
      <w:r>
        <w:rPr>
          <w:szCs w:val="28"/>
        </w:rPr>
        <w:fldChar w:fldCharType="end"/>
      </w:r>
      <w:r w:rsidRPr="0006115E">
        <w:rPr>
          <w:szCs w:val="28"/>
        </w:rPr>
        <w:t>.</w:t>
      </w:r>
    </w:p>
  </w:footnote>
  <w:footnote w:id="4">
    <w:p w14:paraId="11AE05DF" w14:textId="77777777" w:rsidR="00C17CFC" w:rsidRDefault="00C17CFC" w:rsidP="00C17CFC">
      <w:pPr>
        <w:pStyle w:val="FootnoteText"/>
        <w:jc w:val="both"/>
      </w:pPr>
      <w:r>
        <w:rPr>
          <w:rStyle w:val="FootnoteReference"/>
        </w:rPr>
        <w:footnoteRef/>
      </w:r>
      <w:r>
        <w:t xml:space="preserve"> </w:t>
      </w:r>
      <w:r w:rsidRPr="003C1542">
        <w:t xml:space="preserve">Similarly, </w:t>
      </w:r>
      <w:r>
        <w:t xml:space="preserve">the Fourth Circuit has </w:t>
      </w:r>
      <w:r w:rsidRPr="003C1542">
        <w:t xml:space="preserve">enforced unethical oral contingent fee agreements that contravene Louisiana Rule of Professional Conduct 1.5(c). </w:t>
      </w:r>
      <w:r w:rsidRPr="005E545E">
        <w:rPr>
          <w:i/>
        </w:rPr>
        <w:t>See</w:t>
      </w:r>
      <w:r w:rsidRPr="003C1542">
        <w:t xml:space="preserve"> </w:t>
      </w:r>
      <w:r w:rsidRPr="005E545E">
        <w:rPr>
          <w:i/>
        </w:rPr>
        <w:t>Classic Imports, Inc. v. Singleton</w:t>
      </w:r>
      <w:r w:rsidRPr="003C1542">
        <w:t xml:space="preserve">, 765 So. 2d 455, 458-59 (La. </w:t>
      </w:r>
      <w:r>
        <w:t xml:space="preserve">Ct. </w:t>
      </w:r>
      <w:r w:rsidRPr="003C1542">
        <w:t>App. 4</w:t>
      </w:r>
      <w:r>
        <w:t>th</w:t>
      </w:r>
      <w:r w:rsidRPr="003C1542">
        <w:t xml:space="preserve"> Cir. 2000)</w:t>
      </w:r>
      <w:r>
        <w:fldChar w:fldCharType="begin"/>
      </w:r>
      <w:r>
        <w:instrText xml:space="preserve"> TA \l "</w:instrText>
      </w:r>
      <w:r w:rsidRPr="00FC5742">
        <w:rPr>
          <w:i/>
        </w:rPr>
        <w:instrText>Classic Imports, Inc. v. Singleton</w:instrText>
      </w:r>
      <w:r w:rsidRPr="00FC5742">
        <w:instrText>, 765 So. 2d 455 (La. Ct. App. 4th Cir. 2000)</w:instrText>
      </w:r>
      <w:r>
        <w:instrText xml:space="preserve">" \s "Classic Imports, Inc. v. Singleton, 765 So. 2d 455, 458-59 (La. Ct. App. 4th Cir. 2000)" \c 1 </w:instrText>
      </w:r>
      <w:r>
        <w:fldChar w:fldCharType="end"/>
      </w:r>
      <w:r w:rsidRPr="003C1542">
        <w:t xml:space="preserve">; </w:t>
      </w:r>
      <w:r w:rsidRPr="005E545E">
        <w:rPr>
          <w:i/>
        </w:rPr>
        <w:t>Tschirn v. Secor Bank</w:t>
      </w:r>
      <w:r w:rsidRPr="003C1542">
        <w:t xml:space="preserve">, 691 So. 2d 1290, 1294 (La. </w:t>
      </w:r>
      <w:r>
        <w:t xml:space="preserve">Ct. </w:t>
      </w:r>
      <w:r w:rsidRPr="003C1542">
        <w:t>App. 4</w:t>
      </w:r>
      <w:r>
        <w:t>th</w:t>
      </w:r>
      <w:r w:rsidRPr="003C1542">
        <w:t xml:space="preserve"> Cir. 1997)</w:t>
      </w:r>
      <w:r>
        <w:fldChar w:fldCharType="begin"/>
      </w:r>
      <w:r>
        <w:instrText xml:space="preserve"> TA \l "</w:instrText>
      </w:r>
      <w:r w:rsidRPr="00FC5742">
        <w:rPr>
          <w:i/>
        </w:rPr>
        <w:instrText>Tschirn v. Secor Bank</w:instrText>
      </w:r>
      <w:r w:rsidRPr="00FC5742">
        <w:instrText>, 691 So. 2d 1290 (La. Ct. App. 4th Cir. 1997)</w:instrText>
      </w:r>
      <w:r>
        <w:instrText xml:space="preserve">" \s "Tschirn v. Secor Bank, 691 So. 2d 1290, 1294 (La. Ct. App. 4th Cir. 1997)" \c 1 </w:instrText>
      </w:r>
      <w:r>
        <w:fldChar w:fldCharType="end"/>
      </w:r>
      <w:r w:rsidRPr="003C1542">
        <w:t>.</w:t>
      </w:r>
    </w:p>
  </w:footnote>
  <w:footnote w:id="5">
    <w:p w14:paraId="5C240703" w14:textId="77777777" w:rsidR="00C17CFC" w:rsidRDefault="00C17CFC" w:rsidP="00C17CFC">
      <w:pPr>
        <w:pStyle w:val="FootnoteText"/>
      </w:pPr>
      <w:r>
        <w:rPr>
          <w:rStyle w:val="FootnoteReference"/>
        </w:rPr>
        <w:footnoteRef/>
      </w:r>
      <w:r>
        <w:t xml:space="preserve"> </w:t>
      </w:r>
      <w:r w:rsidRPr="006C59E9">
        <w:rPr>
          <w:i/>
        </w:rPr>
        <w:t>Duer &amp; Taylor v. Blanchard, Walker, O’Quin &amp; Roberts</w:t>
      </w:r>
      <w:r>
        <w:t>, 354 So. 2d 192 (La. 1978)</w:t>
      </w:r>
      <w:r>
        <w:fldChar w:fldCharType="begin"/>
      </w:r>
      <w:r>
        <w:instrText xml:space="preserve"> TA \l "</w:instrText>
      </w:r>
      <w:r w:rsidRPr="00FC5742">
        <w:rPr>
          <w:i/>
        </w:rPr>
        <w:instrText>Duer &amp; Taylor v. Blanchard, Walker, O’Quin &amp; Roberts</w:instrText>
      </w:r>
      <w:r w:rsidRPr="00FC5742">
        <w:instrText>, 354 So. 2d 192 (La. 1978)</w:instrText>
      </w:r>
      <w:r>
        <w:instrText xml:space="preserve">" \s "Duer &amp; Taylor v. Blanchard, Walker, O’Quin &amp; Roberts, 354 So. 2d 192 (La. 1978)" \c 1 </w:instrText>
      </w:r>
      <w:r>
        <w:fldChar w:fldCharType="end"/>
      </w:r>
      <w:r>
        <w:t xml:space="preserve">: “a suit by an attorney against another attorney to recover, pursuant to such an agreement, a portion of the fee collected by the latter party from the client is not one for the recovery of attorney’s fees, but rather is one for breach of the agreement to share in the fund resulting from the payment of the fee agreement.” </w:t>
      </w:r>
      <w:r>
        <w:rPr>
          <w:i/>
          <w:iCs/>
        </w:rPr>
        <w:t xml:space="preserve">Id. </w:t>
      </w:r>
      <w:r>
        <w:t xml:space="preserve">At 194-195. </w:t>
      </w:r>
    </w:p>
  </w:footnote>
  <w:footnote w:id="6">
    <w:p w14:paraId="6D2DF779" w14:textId="77777777" w:rsidR="00C17CFC" w:rsidRPr="00F15B31" w:rsidRDefault="00C17CFC" w:rsidP="00C17CFC">
      <w:pPr>
        <w:pStyle w:val="FootnoteText"/>
        <w:jc w:val="both"/>
      </w:pPr>
      <w:r>
        <w:rPr>
          <w:rStyle w:val="FootnoteReference"/>
        </w:rPr>
        <w:footnoteRef/>
      </w:r>
      <w:r>
        <w:t xml:space="preserve"> If </w:t>
      </w:r>
      <w:r>
        <w:rPr>
          <w:i/>
        </w:rPr>
        <w:t>Duer</w:t>
      </w:r>
      <w:r>
        <w:t xml:space="preserve"> supports Spears—it does not—then this Court should overrule it. </w:t>
      </w:r>
      <w:r w:rsidRPr="000F7368">
        <w:rPr>
          <w:i/>
        </w:rPr>
        <w:t>See</w:t>
      </w:r>
      <w:r w:rsidRPr="000F7368">
        <w:t xml:space="preserve"> La. Sup. Ct. </w:t>
      </w:r>
      <w:r>
        <w:t>Rule</w:t>
      </w:r>
      <w:r w:rsidRPr="000F7368">
        <w:t xml:space="preserve"> </w:t>
      </w:r>
      <w:r>
        <w:t>X,</w:t>
      </w:r>
      <w:r w:rsidRPr="000F7368">
        <w:t xml:space="preserve"> § 1(a)</w:t>
      </w:r>
      <w:r>
        <w:t>(3)</w:t>
      </w:r>
      <w:r>
        <w:fldChar w:fldCharType="begin"/>
      </w:r>
      <w:r>
        <w:instrText xml:space="preserve"> TA \l "</w:instrText>
      </w:r>
      <w:r w:rsidRPr="00FC5742">
        <w:instrText>La. Sup. Ct. Rule X, § 1(a)(3)</w:instrText>
      </w:r>
      <w:r>
        <w:instrText xml:space="preserve">" \s "La. Sup. Ct. Rule X, § 1(a)(3)" \c 4 </w:instrText>
      </w:r>
      <w:r>
        <w:fldChar w:fldCharType="end"/>
      </w:r>
      <w:r>
        <w:t xml:space="preserve"> (providing that a writ should be granted when a “</w:t>
      </w:r>
      <w:r w:rsidRPr="000F7368">
        <w:t>court of appeal has erroneously interpreted or applied the constitution or a law of this state or the United States and the decision will cause material injustice or significantly affect the public interest.</w:t>
      </w:r>
      <w:r>
        <w:t>”).</w:t>
      </w:r>
    </w:p>
  </w:footnote>
  <w:footnote w:id="7">
    <w:p w14:paraId="177BC0B0" w14:textId="77777777" w:rsidR="00C17CFC" w:rsidRDefault="00C17CFC" w:rsidP="00C17CFC">
      <w:pPr>
        <w:pStyle w:val="FootnoteText"/>
        <w:jc w:val="both"/>
      </w:pPr>
      <w:r>
        <w:rPr>
          <w:rStyle w:val="FootnoteReference"/>
        </w:rPr>
        <w:footnoteRef/>
      </w:r>
      <w:r>
        <w:t xml:space="preserve"> </w:t>
      </w:r>
      <w:r w:rsidRPr="003C1542">
        <w:t xml:space="preserve">Wrong. Lawyer disciplinary rules are designed not only </w:t>
      </w:r>
      <w:r>
        <w:t xml:space="preserve">to </w:t>
      </w:r>
      <w:r w:rsidRPr="003C1542">
        <w:t>protect clients, but also to protect the “general public,” the “legal system</w:t>
      </w:r>
      <w:r>
        <w:t>,</w:t>
      </w:r>
      <w:r w:rsidRPr="003C1542">
        <w:t xml:space="preserve">” and the “legal profession.” </w:t>
      </w:r>
      <w:r w:rsidRPr="00B84C0E">
        <w:rPr>
          <w:i/>
        </w:rPr>
        <w:t>See, e.g.</w:t>
      </w:r>
      <w:r w:rsidRPr="003C1542">
        <w:t xml:space="preserve">, ABA </w:t>
      </w:r>
      <w:r>
        <w:t xml:space="preserve">Stds. </w:t>
      </w:r>
      <w:r w:rsidRPr="003C1542">
        <w:t>for Imposing Lawyer Sanctions at 9 (1992)</w:t>
      </w:r>
      <w:r>
        <w:fldChar w:fldCharType="begin"/>
      </w:r>
      <w:r>
        <w:instrText xml:space="preserve"> TA \l "</w:instrText>
      </w:r>
      <w:r w:rsidRPr="00831D56">
        <w:instrText>ABA Stds. for Imposing Lawyer Sanctions (1992)</w:instrText>
      </w:r>
      <w:r>
        <w:instrText xml:space="preserve">" \s "ABA Stds. for Imposing Lawyer Sanctions (1992)" \c 3 </w:instrText>
      </w:r>
      <w:r>
        <w:fldChar w:fldCharType="end"/>
      </w:r>
      <w:r w:rsidRPr="003C1542">
        <w:t xml:space="preserve">. Ethical fee-division is among the duties a lawyer owes to the “legal profession.” </w:t>
      </w:r>
      <w:r w:rsidRPr="00B84C0E">
        <w:rPr>
          <w:i/>
        </w:rPr>
        <w:t>See id</w:t>
      </w:r>
      <w:r w:rsidRPr="003C1542">
        <w:t>.</w:t>
      </w:r>
    </w:p>
  </w:footnote>
  <w:footnote w:id="8">
    <w:p w14:paraId="019BF0CA" w14:textId="56FA9E4B" w:rsidR="00C17CFC" w:rsidRPr="000E7E9A" w:rsidRDefault="00C17CFC" w:rsidP="00C17CFC">
      <w:pPr>
        <w:pStyle w:val="FootnoteText"/>
        <w:jc w:val="both"/>
      </w:pPr>
      <w:r>
        <w:rPr>
          <w:rStyle w:val="FootnoteReference"/>
        </w:rPr>
        <w:footnoteRef/>
      </w:r>
      <w:r>
        <w:t xml:space="preserve"> At least one federal district court relied upon </w:t>
      </w:r>
      <w:r>
        <w:rPr>
          <w:i/>
        </w:rPr>
        <w:t>Scurto</w:t>
      </w:r>
      <w:r>
        <w:t xml:space="preserve"> to hold that “[w]hen attorneys enter into an agreement regarding the division of the fee, the Rules of Professional Conduct do not prohibit enforcement of the agreement.” </w:t>
      </w:r>
      <w:r>
        <w:rPr>
          <w:i/>
        </w:rPr>
        <w:t>Pittle v. McGlynn</w:t>
      </w:r>
      <w:r>
        <w:t>, 2010 WL 3184226 (M.D. La. 2010)</w:t>
      </w:r>
      <w:r>
        <w:fldChar w:fldCharType="begin"/>
      </w:r>
      <w:r>
        <w:instrText xml:space="preserve"> TA \l "</w:instrText>
      </w:r>
      <w:r w:rsidRPr="00FC5742">
        <w:rPr>
          <w:i/>
        </w:rPr>
        <w:instrText>Pittle v. McGlynn</w:instrText>
      </w:r>
      <w:r w:rsidRPr="00FC5742">
        <w:instrText>, 2010 WL 3184226 (M.D. La. 2010)</w:instrText>
      </w:r>
      <w:r>
        <w:instrText xml:space="preserve">" \s "Pittle v. McGlynn, 2010 WL 3184226 (M.D. La. 2010)" \c 1 </w:instrText>
      </w:r>
      <w:r>
        <w:fldChar w:fldCharType="end"/>
      </w:r>
      <w:r>
        <w:t>.</w:t>
      </w:r>
    </w:p>
  </w:footnote>
  <w:footnote w:id="9">
    <w:p w14:paraId="6E15B504" w14:textId="77777777" w:rsidR="00C17CFC" w:rsidRDefault="00C17CFC" w:rsidP="00C17CFC">
      <w:pPr>
        <w:pStyle w:val="FootnoteText"/>
      </w:pPr>
      <w:r>
        <w:rPr>
          <w:rStyle w:val="FootnoteReference"/>
        </w:rPr>
        <w:footnoteRef/>
      </w:r>
      <w:r>
        <w:t xml:space="preserve"> </w:t>
      </w:r>
      <w:r w:rsidRPr="00175ADB">
        <w:rPr>
          <w:i/>
          <w:iCs/>
        </w:rPr>
        <w:t>But</w:t>
      </w:r>
      <w:r>
        <w:t xml:space="preserve"> </w:t>
      </w:r>
      <w:r>
        <w:rPr>
          <w:i/>
          <w:iCs/>
        </w:rPr>
        <w:t>See Wiener, Weiss &amp; Madison v. Fox</w:t>
      </w:r>
      <w:r>
        <w:t>, 971 F.3d 511, 516 (5th Cir. 2020)</w:t>
      </w:r>
      <w:r>
        <w:fldChar w:fldCharType="begin"/>
      </w:r>
      <w:r>
        <w:instrText xml:space="preserve"> TA \l "</w:instrText>
      </w:r>
      <w:r w:rsidRPr="00831D56">
        <w:rPr>
          <w:i/>
          <w:iCs/>
        </w:rPr>
        <w:instrText>Wiener, Weiss &amp; Madison v. Fox</w:instrText>
      </w:r>
      <w:r w:rsidRPr="00831D56">
        <w:instrText>, 971 F.3d 511 (5th Cir. 2020)</w:instrText>
      </w:r>
      <w:r>
        <w:instrText xml:space="preserve">" \s "Wiener, Weiss &amp; Madison v. Fox, 971 F.3d 511, 516 (5th Cir. 2020)" \c 1 </w:instrText>
      </w:r>
      <w:r>
        <w:fldChar w:fldCharType="end"/>
      </w:r>
      <w:r>
        <w:t xml:space="preserve"> (a lawyer-client agreement that “directly violates a disciplinary rule is unenforceable.”); </w:t>
      </w:r>
      <w:r>
        <w:rPr>
          <w:i/>
        </w:rPr>
        <w:t>See also</w:t>
      </w:r>
      <w:r>
        <w:t xml:space="preserve"> </w:t>
      </w:r>
      <w:r>
        <w:rPr>
          <w:i/>
        </w:rPr>
        <w:t>Chimneywood Homeowners Ass’n, Inc. v. Egan Ins. Agency, Inc.</w:t>
      </w:r>
      <w:r>
        <w:t>, 57 So. 3d 1142 (La. Ct. App. 4th Cir. 2011)</w:t>
      </w:r>
      <w:r>
        <w:fldChar w:fldCharType="begin"/>
      </w:r>
      <w:r>
        <w:instrText xml:space="preserve"> TA \l "</w:instrText>
      </w:r>
      <w:r w:rsidRPr="00FC5742">
        <w:rPr>
          <w:i/>
        </w:rPr>
        <w:instrText>Chimneywood Homeowners Ass’n, Inc. v. Egan Ins. Agency, Inc.</w:instrText>
      </w:r>
      <w:r w:rsidRPr="00FC5742">
        <w:instrText>, 57 So. 3d 1142 (La. Ct. App. 4th Cir. 2011)</w:instrText>
      </w:r>
      <w:r>
        <w:instrText xml:space="preserve">" \s "Chimneywood Homeowners Ass’n, Inc. v. Egan Ins. Agency, Inc., 57 So. 3d 1142 (La. Ct. App. 4th Cir. 2011)" \c 1 </w:instrText>
      </w:r>
      <w:r>
        <w:fldChar w:fldCharType="end"/>
      </w:r>
      <w:r>
        <w:t xml:space="preserve"> (quoting </w:t>
      </w:r>
      <w:r>
        <w:rPr>
          <w:i/>
        </w:rPr>
        <w:t>Dukes</w:t>
      </w:r>
      <w:r>
        <w:t xml:space="preserve"> and holding that in the absence of compliance with Rule 1.5(e), “the fee could be divided only on a quantum meruit basis”)</w:t>
      </w:r>
    </w:p>
  </w:footnote>
  <w:footnote w:id="10">
    <w:p w14:paraId="2AF6B328" w14:textId="77777777" w:rsidR="00C17CFC" w:rsidRPr="00D601F1" w:rsidRDefault="00C17CFC" w:rsidP="00C17CFC">
      <w:pPr>
        <w:pStyle w:val="FootnoteText"/>
        <w:jc w:val="both"/>
      </w:pPr>
      <w:r>
        <w:rPr>
          <w:rStyle w:val="FootnoteReference"/>
        </w:rPr>
        <w:footnoteRef/>
      </w:r>
      <w:r>
        <w:t xml:space="preserve"> </w:t>
      </w:r>
      <w:r>
        <w:rPr>
          <w:i/>
        </w:rPr>
        <w:t>See generally</w:t>
      </w:r>
      <w:r>
        <w:t xml:space="preserve"> </w:t>
      </w:r>
      <w:r w:rsidRPr="00D601F1">
        <w:t xml:space="preserve">Benjamin P. Cooper, </w:t>
      </w:r>
      <w:r w:rsidRPr="00D601F1">
        <w:rPr>
          <w:i/>
        </w:rPr>
        <w:t>Taking Rules Seriously: The Rise of Lawyer Rules as Substantive Law and the Public Policy Exception in Contract Law</w:t>
      </w:r>
      <w:r w:rsidRPr="00D601F1">
        <w:t>, 35 Cardozo L. Rev. 267 (Oct. 2013)</w:t>
      </w:r>
      <w:r>
        <w:fldChar w:fldCharType="begin"/>
      </w:r>
      <w:r>
        <w:instrText xml:space="preserve"> TA \l "</w:instrText>
      </w:r>
      <w:r w:rsidRPr="00831D56">
        <w:instrText xml:space="preserve">Benjamin P. Cooper, </w:instrText>
      </w:r>
      <w:r w:rsidRPr="00831D56">
        <w:rPr>
          <w:i/>
        </w:rPr>
        <w:instrText>Taking Rules Seriously: The Rise of Lawyer Rules as Substantive Law and the Public Policy Exception in Contract Law</w:instrText>
      </w:r>
      <w:r w:rsidRPr="00831D56">
        <w:instrText>, 35 Cardozo L. Rev. 267 (Oct. 2013)</w:instrText>
      </w:r>
      <w:r>
        <w:instrText xml:space="preserve">" \s "Benjamin P. Cooper, Taking Rules Seriously: The Rise of Lawyer Rules as Substantive Law and the Public Policy Exception in Contract Law, 35 Cardozo L. Rev. 267 (Oct. 2013)" \c 3 </w:instrText>
      </w:r>
      <w:r>
        <w:fldChar w:fldCharType="end"/>
      </w:r>
      <w:r w:rsidRPr="00D601F1">
        <w:t xml:space="preserve"> (urges courts to take </w:t>
      </w:r>
      <w:r>
        <w:t xml:space="preserve">lawyer disciplinary </w:t>
      </w:r>
      <w:r w:rsidRPr="00D601F1">
        <w:t xml:space="preserve">rules more seriously as source of law); Douglas R. Richmond, </w:t>
      </w:r>
      <w:r w:rsidRPr="00D601F1">
        <w:rPr>
          <w:i/>
        </w:rPr>
        <w:t>Professional Responsibilities of Co-Counsel: Joint Venturers or Scorpions in a Bottle?</w:t>
      </w:r>
      <w:r w:rsidRPr="00D601F1">
        <w:t>, 98 Ky. L.J. 461 (2009-2010)</w:t>
      </w:r>
      <w:r>
        <w:fldChar w:fldCharType="begin"/>
      </w:r>
      <w:r>
        <w:instrText xml:space="preserve"> TA \l "</w:instrText>
      </w:r>
      <w:r w:rsidRPr="00831D56">
        <w:instrText xml:space="preserve">Douglas R. Richmond, </w:instrText>
      </w:r>
      <w:r w:rsidRPr="00831D56">
        <w:rPr>
          <w:i/>
        </w:rPr>
        <w:instrText>Professional Responsibilities of Co-Counsel: Joint Venturers or Scorpions in a Bottle?</w:instrText>
      </w:r>
      <w:r w:rsidRPr="00831D56">
        <w:instrText>, 98 Ky. L.J. 461 (2009-2010)</w:instrText>
      </w:r>
      <w:r>
        <w:instrText xml:space="preserve">" \s "Douglas R. Richmond, Professional Responsibilities of Co-Counsel: Joint Venturers or Scorpions in a Bottle?, 98 Ky. L.J. 461 (2009-2010)" \c 3 </w:instrText>
      </w:r>
      <w:r>
        <w:fldChar w:fldCharType="end"/>
      </w:r>
      <w:r w:rsidRPr="00D601F1">
        <w:t>.</w:t>
      </w:r>
    </w:p>
  </w:footnote>
  <w:footnote w:id="11">
    <w:p w14:paraId="5543C824" w14:textId="77777777" w:rsidR="00C17CFC" w:rsidRPr="00E91474" w:rsidRDefault="00C17CFC" w:rsidP="00C17CFC">
      <w:pPr>
        <w:pStyle w:val="FootnoteText"/>
        <w:jc w:val="both"/>
      </w:pPr>
      <w:r>
        <w:rPr>
          <w:rStyle w:val="FootnoteReference"/>
        </w:rPr>
        <w:footnoteRef/>
      </w:r>
      <w:r>
        <w:t xml:space="preserve"> Interestingly, the Louisiana Fourth Circuit has expressly declined to follow this decision. </w:t>
      </w:r>
      <w:r>
        <w:rPr>
          <w:i/>
          <w:iCs/>
        </w:rPr>
        <w:t>See</w:t>
      </w:r>
      <w:r>
        <w:t xml:space="preserve"> </w:t>
      </w:r>
      <w:r w:rsidRPr="005666DF">
        <w:rPr>
          <w:i/>
          <w:iCs/>
        </w:rPr>
        <w:t xml:space="preserve">Rice, Steinberg, &amp; </w:t>
      </w:r>
      <w:r w:rsidRPr="005666DF">
        <w:rPr>
          <w:i/>
          <w:iCs/>
        </w:rPr>
        <w:t>Stutin, P.A. v. Cummings</w:t>
      </w:r>
      <w:r>
        <w:t>, 716 So. 2d 8, 15 (La. Ct. App. 4</w:t>
      </w:r>
      <w:r w:rsidRPr="00536A19">
        <w:t>th</w:t>
      </w:r>
      <w:r>
        <w:t xml:space="preserve"> Cir. 1998)</w:t>
      </w:r>
      <w:r>
        <w:fldChar w:fldCharType="begin"/>
      </w:r>
      <w:r>
        <w:instrText xml:space="preserve"> TA \l "</w:instrText>
      </w:r>
      <w:r w:rsidRPr="00831D56">
        <w:rPr>
          <w:i/>
          <w:iCs/>
        </w:rPr>
        <w:instrText>Rice, Steinberg, &amp; Stutin, P.A. v. Cummings</w:instrText>
      </w:r>
      <w:r w:rsidRPr="00831D56">
        <w:instrText>, 716 So. 2d 8 (La. Ct. App. 4th Cir. 1998)</w:instrText>
      </w:r>
      <w:r>
        <w:instrText xml:space="preserve">" \s "Rice, Steinberg, &amp; Stutin, P.A. v. Cummings, 716 So. 2d 8, 15 (La. Ct. App. 4th Cir. 1998)" \c 1 </w:instrText>
      </w:r>
      <w:r>
        <w:fldChar w:fldCharType="end"/>
      </w:r>
      <w:r>
        <w:t>.</w:t>
      </w:r>
    </w:p>
  </w:footnote>
  <w:footnote w:id="12">
    <w:p w14:paraId="2461F947" w14:textId="77777777" w:rsidR="00C17CFC" w:rsidRDefault="00C17CFC" w:rsidP="00C17CFC">
      <w:pPr>
        <w:pStyle w:val="FootnoteText"/>
        <w:jc w:val="both"/>
      </w:pPr>
      <w:r>
        <w:rPr>
          <w:rStyle w:val="FootnoteReference"/>
        </w:rPr>
        <w:footnoteRef/>
      </w:r>
      <w:r>
        <w:t xml:space="preserve"> </w:t>
      </w:r>
      <w:r w:rsidRPr="00CB1C00">
        <w:t xml:space="preserve">Other courts have reached </w:t>
      </w:r>
      <w:r>
        <w:t xml:space="preserve">the same or a </w:t>
      </w:r>
      <w:r w:rsidRPr="00CB1C00">
        <w:t xml:space="preserve">similar result. </w:t>
      </w:r>
      <w:r w:rsidRPr="00950ED1">
        <w:rPr>
          <w:i/>
        </w:rPr>
        <w:t>See</w:t>
      </w:r>
      <w:r>
        <w:rPr>
          <w:i/>
        </w:rPr>
        <w:t xml:space="preserve"> </w:t>
      </w:r>
      <w:r>
        <w:rPr>
          <w:i/>
        </w:rPr>
        <w:t>Kayshel v. Chae, Inc.</w:t>
      </w:r>
      <w:r>
        <w:rPr>
          <w:iCs/>
        </w:rPr>
        <w:t>, 486 P.3d 936, 941 (Ct. App. Wash. 2021)</w:t>
      </w:r>
      <w:r>
        <w:rPr>
          <w:iCs/>
        </w:rPr>
        <w:fldChar w:fldCharType="begin"/>
      </w:r>
      <w:r>
        <w:instrText xml:space="preserve"> TA \l "</w:instrText>
      </w:r>
      <w:r w:rsidRPr="00831D56">
        <w:rPr>
          <w:i/>
        </w:rPr>
        <w:instrText>Kayshel v. Chae, Inc.</w:instrText>
      </w:r>
      <w:r w:rsidRPr="00831D56">
        <w:rPr>
          <w:iCs/>
        </w:rPr>
        <w:instrText>, 486 P.3d 936 (Ct. App. Wash. 2021)</w:instrText>
      </w:r>
      <w:r>
        <w:instrText xml:space="preserve">" \s "Kayshel v. Chae, Inc., 486 P.3d 936, 941 (Ct. App. Wash. 2021)" \c 1 </w:instrText>
      </w:r>
      <w:r>
        <w:rPr>
          <w:iCs/>
        </w:rPr>
        <w:fldChar w:fldCharType="end"/>
      </w:r>
      <w:r>
        <w:rPr>
          <w:iCs/>
        </w:rPr>
        <w:t xml:space="preserve"> (“</w:t>
      </w:r>
      <w:r w:rsidRPr="00E60816">
        <w:rPr>
          <w:iCs/>
        </w:rPr>
        <w:t>fee agreements that violate the Rules of Professional Conduct are against public policy and are therefore unenforceable</w:t>
      </w:r>
      <w:r>
        <w:rPr>
          <w:iCs/>
        </w:rPr>
        <w:t xml:space="preserve">”); </w:t>
      </w:r>
      <w:r>
        <w:rPr>
          <w:i/>
        </w:rPr>
        <w:t>Sherbow v. Fieger &amp; Fieger, PC</w:t>
      </w:r>
      <w:r>
        <w:rPr>
          <w:iCs/>
        </w:rPr>
        <w:t>, 968 N.W.2d 367, 312-13 (Mich. 2021)</w:t>
      </w:r>
      <w:r>
        <w:rPr>
          <w:iCs/>
        </w:rPr>
        <w:fldChar w:fldCharType="begin"/>
      </w:r>
      <w:r>
        <w:instrText xml:space="preserve"> TA \l "</w:instrText>
      </w:r>
      <w:r w:rsidRPr="00831D56">
        <w:rPr>
          <w:i/>
        </w:rPr>
        <w:instrText>Sherbow v. Fieger &amp; Fieger, PC</w:instrText>
      </w:r>
      <w:r w:rsidRPr="00831D56">
        <w:rPr>
          <w:iCs/>
        </w:rPr>
        <w:instrText>, 968 N.W.2d 367 (Mich. 2021)</w:instrText>
      </w:r>
      <w:r>
        <w:instrText xml:space="preserve">" \s "Sherbow v. Fieger &amp; Fieger, PC, 968 N.W.2d 367, 312-13 (Mich. 2021)" \c 1 </w:instrText>
      </w:r>
      <w:r>
        <w:rPr>
          <w:iCs/>
        </w:rPr>
        <w:fldChar w:fldCharType="end"/>
      </w:r>
      <w:r>
        <w:rPr>
          <w:iCs/>
        </w:rPr>
        <w:t xml:space="preserve"> (1.5(e) violation renders referral-fee agreement unenforceable); </w:t>
      </w:r>
      <w:r>
        <w:rPr>
          <w:i/>
        </w:rPr>
        <w:t>O’Brien v. Fieger</w:t>
      </w:r>
      <w:r>
        <w:rPr>
          <w:iCs/>
        </w:rPr>
        <w:t xml:space="preserve">, 2021 WL 5405869 (Mich. Ct. App. 2021) (violation of 1.5(e) makes fee-splitting agreement “unenforceable”); </w:t>
      </w:r>
      <w:r>
        <w:rPr>
          <w:i/>
        </w:rPr>
        <w:t>Rich v. Simoni</w:t>
      </w:r>
      <w:r>
        <w:t>, 772 S.E.2d 327 (W.Va. 2015)</w:t>
      </w:r>
      <w:r>
        <w:fldChar w:fldCharType="begin"/>
      </w:r>
      <w:r>
        <w:instrText xml:space="preserve"> TA \l "</w:instrText>
      </w:r>
      <w:r w:rsidRPr="00831D56">
        <w:rPr>
          <w:i/>
        </w:rPr>
        <w:instrText>Rich v. Simoni</w:instrText>
      </w:r>
      <w:r w:rsidRPr="00831D56">
        <w:instrText>, 772 S.E.2d 327 (W.Va. 2015)</w:instrText>
      </w:r>
      <w:r>
        <w:instrText xml:space="preserve">" \s "Rich v. Simoni, 772 S.E.2d 327 (W.Va. 2015)" \c 1 </w:instrText>
      </w:r>
      <w:r>
        <w:fldChar w:fldCharType="end"/>
      </w:r>
      <w:r>
        <w:t xml:space="preserve"> (finding fee-division agreement unenforceable due to violation of public policy and citing cases from other jurisdictions); </w:t>
      </w:r>
      <w:r>
        <w:rPr>
          <w:i/>
        </w:rPr>
        <w:t>Donald W. Fohrman &amp; Associates, Ltd. v. Mark D. Alberts, P.C.</w:t>
      </w:r>
      <w:r>
        <w:rPr>
          <w:iCs/>
        </w:rPr>
        <w:t>, 7 N.E.3d 807 (Ill. App. 1</w:t>
      </w:r>
      <w:r w:rsidRPr="00A73B79">
        <w:rPr>
          <w:iCs/>
          <w:vertAlign w:val="superscript"/>
        </w:rPr>
        <w:t>st</w:t>
      </w:r>
      <w:r>
        <w:rPr>
          <w:iCs/>
        </w:rPr>
        <w:t xml:space="preserve"> Dist. 2014)</w:t>
      </w:r>
      <w:r>
        <w:rPr>
          <w:iCs/>
        </w:rPr>
        <w:fldChar w:fldCharType="begin"/>
      </w:r>
      <w:r>
        <w:instrText xml:space="preserve"> TA \l "</w:instrText>
      </w:r>
      <w:r w:rsidRPr="00831D56">
        <w:rPr>
          <w:i/>
        </w:rPr>
        <w:instrText>Donald W. Fohrman &amp; Associates, Ltd. v. Mark D. Alberts, P.C.</w:instrText>
      </w:r>
      <w:r w:rsidRPr="00831D56">
        <w:rPr>
          <w:iCs/>
        </w:rPr>
        <w:instrText>, 7 N.E.3d 807 (Ill. App. 1</w:instrText>
      </w:r>
      <w:r w:rsidRPr="00831D56">
        <w:rPr>
          <w:iCs/>
          <w:vertAlign w:val="superscript"/>
        </w:rPr>
        <w:instrText>st</w:instrText>
      </w:r>
      <w:r w:rsidRPr="00831D56">
        <w:rPr>
          <w:iCs/>
        </w:rPr>
        <w:instrText xml:space="preserve"> Dist. 2014)</w:instrText>
      </w:r>
      <w:r>
        <w:instrText xml:space="preserve">" \s "Donald W. Fohrman &amp; Associates, Ltd. v. Mark D. Alberts, P.C., 7 N.E.3d 807 (Ill. App. 1st Dist. 2014)" \c 1 </w:instrText>
      </w:r>
      <w:r>
        <w:rPr>
          <w:iCs/>
        </w:rPr>
        <w:fldChar w:fldCharType="end"/>
      </w:r>
      <w:r>
        <w:rPr>
          <w:iCs/>
        </w:rPr>
        <w:t xml:space="preserve"> (refusing to enforce unethical fee-sharing agreement); </w:t>
      </w:r>
      <w:r>
        <w:rPr>
          <w:i/>
        </w:rPr>
        <w:t>Law Offices of Gary Green v. Morrissey</w:t>
      </w:r>
      <w:r>
        <w:t xml:space="preserve">, 210 S.W.3d 421, 425 (Mo. Ct. App. S.D. 2006) (“‘[A]n agreement to share attorney fee that does not comply with Rule 4-1.5(e) is unenforceable.’”) (quoting </w:t>
      </w:r>
      <w:r>
        <w:rPr>
          <w:i/>
        </w:rPr>
        <w:t>Nielson v. McClosky</w:t>
      </w:r>
      <w:r>
        <w:t>, 186 S.W.3d 285, 287 (Mo. Ct. App. E.D. 2005)</w:t>
      </w:r>
      <w:r>
        <w:fldChar w:fldCharType="begin"/>
      </w:r>
      <w:r>
        <w:instrText xml:space="preserve"> TA \l "</w:instrText>
      </w:r>
      <w:r w:rsidRPr="00831D56">
        <w:rPr>
          <w:i/>
        </w:rPr>
        <w:instrText>Nielson v. McClosky</w:instrText>
      </w:r>
      <w:r w:rsidRPr="00831D56">
        <w:instrText>, 186 S.W.3d 285 (Mo. Ct. App. E.D. 2005)</w:instrText>
      </w:r>
      <w:r>
        <w:instrText xml:space="preserve">" \s "Nielson v. McClosky, 186 S.W.3d 285, 287 (Mo. Ct. App. E.D. 2005)" \c 1 </w:instrText>
      </w:r>
      <w:r>
        <w:fldChar w:fldCharType="end"/>
      </w:r>
      <w:r>
        <w:t>);</w:t>
      </w:r>
      <w:r w:rsidRPr="004B33D6">
        <w:rPr>
          <w:i/>
        </w:rPr>
        <w:t xml:space="preserve"> </w:t>
      </w:r>
      <w:r w:rsidRPr="005E545E">
        <w:rPr>
          <w:i/>
        </w:rPr>
        <w:t>Huskin &amp; Brown, LLP v. Wolf</w:t>
      </w:r>
      <w:r w:rsidRPr="00CB1C00">
        <w:t>, No. S107616 (Ca</w:t>
      </w:r>
      <w:r>
        <w:t>l</w:t>
      </w:r>
      <w:r w:rsidRPr="00CB1C00">
        <w:t>. Feb. 23, 2004)</w:t>
      </w:r>
      <w:r>
        <w:fldChar w:fldCharType="begin"/>
      </w:r>
      <w:r>
        <w:instrText xml:space="preserve"> TA \l "</w:instrText>
      </w:r>
      <w:r w:rsidRPr="00831D56">
        <w:rPr>
          <w:i/>
        </w:rPr>
        <w:instrText>Huskin &amp; Brown, LLP v. Wolf</w:instrText>
      </w:r>
      <w:r w:rsidRPr="00831D56">
        <w:instrText>, No. S107616 (Cal. Feb. 23, 2004)</w:instrText>
      </w:r>
      <w:r>
        <w:instrText xml:space="preserve">" \s "Huskin &amp; Brown, LLP v. Wolf, No. S107616 (Cal. Feb. 23, 2004)" \c 1 </w:instrText>
      </w:r>
      <w:r>
        <w:fldChar w:fldCharType="end"/>
      </w:r>
      <w:r w:rsidRPr="00CB1C00">
        <w:t xml:space="preserve"> (stating that noncompliance with ethics rules invalidates firms’ agreement to divide fees)</w:t>
      </w:r>
      <w:r>
        <w:t>;</w:t>
      </w:r>
      <w:r>
        <w:rPr>
          <w:i/>
        </w:rPr>
        <w:t xml:space="preserve"> </w:t>
      </w:r>
      <w:r w:rsidRPr="005E545E">
        <w:rPr>
          <w:i/>
        </w:rPr>
        <w:t>Kaplan v. Pavalon &amp; Gifford</w:t>
      </w:r>
      <w:r w:rsidRPr="00CB1C00">
        <w:t xml:space="preserve">, 12 F.3d 87 (7th Cir. 1993) (noting that agreement to divide fees is unenforceable if it violates applicable professional conduct rules); </w:t>
      </w:r>
      <w:r w:rsidRPr="005E545E">
        <w:rPr>
          <w:i/>
        </w:rPr>
        <w:t>Lemond v. Jamail</w:t>
      </w:r>
      <w:r w:rsidRPr="00CB1C00">
        <w:t>, 763 S.W.2d 910 (Tex. Ct. App. 1989)</w:t>
      </w:r>
      <w:r>
        <w:fldChar w:fldCharType="begin"/>
      </w:r>
      <w:r>
        <w:instrText xml:space="preserve"> TA \l "</w:instrText>
      </w:r>
      <w:r w:rsidRPr="00831D56">
        <w:rPr>
          <w:i/>
        </w:rPr>
        <w:instrText>Lemond v. Jamail</w:instrText>
      </w:r>
      <w:r w:rsidRPr="00831D56">
        <w:instrText>, 763 S.W.2d 910 (Tex. Ct. App. 1989)</w:instrText>
      </w:r>
      <w:r>
        <w:instrText xml:space="preserve">" \s "Lemond v. Jamail, 763 S.W.2d 910 (Tex. Ct. App. 1989)" \c 1 </w:instrText>
      </w:r>
      <w:r>
        <w:fldChar w:fldCharType="end"/>
      </w:r>
      <w:r w:rsidRPr="00CB1C00">
        <w:t xml:space="preserve"> (holding fee</w:t>
      </w:r>
      <w:r>
        <w:t xml:space="preserve">-division </w:t>
      </w:r>
      <w:r w:rsidRPr="00CB1C00">
        <w:t xml:space="preserve">agreement void because it violated public policy); </w:t>
      </w:r>
      <w:r w:rsidRPr="005E545E">
        <w:rPr>
          <w:i/>
        </w:rPr>
        <w:t>see also</w:t>
      </w:r>
      <w:r w:rsidRPr="00CB1C00">
        <w:t xml:space="preserve"> </w:t>
      </w:r>
      <w:r w:rsidRPr="005E545E">
        <w:rPr>
          <w:i/>
        </w:rPr>
        <w:t>Londoff v. Vuylsteke</w:t>
      </w:r>
      <w:r w:rsidRPr="00CB1C00">
        <w:t xml:space="preserve">, 996 S.W.2d 553 (Mo. Ct. App. 1999); </w:t>
      </w:r>
      <w:r w:rsidRPr="00466170">
        <w:rPr>
          <w:i/>
        </w:rPr>
        <w:t>Londoff v. Vuylsteke</w:t>
      </w:r>
      <w:r w:rsidRPr="00466170">
        <w:t>, 996 S.W.2d 553, 558 (Mo.</w:t>
      </w:r>
      <w:r>
        <w:t xml:space="preserve"> </w:t>
      </w:r>
      <w:r w:rsidRPr="00466170">
        <w:t>Ct.</w:t>
      </w:r>
      <w:r>
        <w:t xml:space="preserve"> </w:t>
      </w:r>
      <w:r w:rsidRPr="00466170">
        <w:t>App. 1999)</w:t>
      </w:r>
      <w:r>
        <w:fldChar w:fldCharType="begin"/>
      </w:r>
      <w:r>
        <w:instrText xml:space="preserve"> TA \l "</w:instrText>
      </w:r>
      <w:r w:rsidRPr="00831D56">
        <w:rPr>
          <w:i/>
        </w:rPr>
        <w:instrText>Londoff v. Vuylsteke</w:instrText>
      </w:r>
      <w:r w:rsidRPr="00831D56">
        <w:instrText>, 996 S.W.2d 553 (Mo. Ct. App. 1999)</w:instrText>
      </w:r>
      <w:r>
        <w:instrText xml:space="preserve">" \s "Londoff v. Vuylsteke, 996 S.W.2d 553, 558 (Mo. Ct. App. 1999)" \c 1 </w:instrText>
      </w:r>
      <w:r>
        <w:fldChar w:fldCharType="end"/>
      </w:r>
      <w:r w:rsidRPr="00466170">
        <w:t xml:space="preserve"> (</w:t>
      </w:r>
      <w:r w:rsidRPr="00466170">
        <w:rPr>
          <w:i/>
        </w:rPr>
        <w:t>citing McFarland v. George</w:t>
      </w:r>
      <w:r w:rsidRPr="00466170">
        <w:t>, 316 S.W.2d 662, 670 (Mo.</w:t>
      </w:r>
      <w:r>
        <w:t xml:space="preserve"> </w:t>
      </w:r>
      <w:r w:rsidRPr="00466170">
        <w:t>Ct.</w:t>
      </w:r>
      <w:r>
        <w:t xml:space="preserve"> </w:t>
      </w:r>
      <w:r w:rsidRPr="00466170">
        <w:t>App.</w:t>
      </w:r>
      <w:r>
        <w:t xml:space="preserve"> 1</w:t>
      </w:r>
      <w:r w:rsidRPr="00466170">
        <w:t>958)</w:t>
      </w:r>
      <w:r>
        <w:fldChar w:fldCharType="begin"/>
      </w:r>
      <w:r>
        <w:instrText xml:space="preserve"> TA \l "</w:instrText>
      </w:r>
      <w:r w:rsidRPr="00831D56">
        <w:rPr>
          <w:i/>
        </w:rPr>
        <w:instrText>McFarland v. George</w:instrText>
      </w:r>
      <w:r w:rsidRPr="00831D56">
        <w:instrText>, 316 S.W.2d 662 (Mo. Ct. App. 1958)</w:instrText>
      </w:r>
      <w:r>
        <w:instrText xml:space="preserve">" \s "McFarland v. George, 316 S.W.2d 662, 670 (Mo. Ct. App. 1958)" \c 1 </w:instrText>
      </w:r>
      <w:r>
        <w:fldChar w:fldCharType="end"/>
      </w:r>
      <w:r w:rsidRPr="00466170">
        <w:t>);</w:t>
      </w:r>
      <w:r>
        <w:t xml:space="preserve"> </w:t>
      </w:r>
      <w:r w:rsidRPr="00466170">
        <w:rPr>
          <w:i/>
        </w:rPr>
        <w:t>Christensen v. Eggen</w:t>
      </w:r>
      <w:r w:rsidRPr="00466170">
        <w:t>, 577 N.W.2d 221, 224</w:t>
      </w:r>
      <w:r>
        <w:t>-</w:t>
      </w:r>
      <w:r w:rsidRPr="00466170">
        <w:t>25 (Minn.</w:t>
      </w:r>
      <w:r>
        <w:t xml:space="preserve"> </w:t>
      </w:r>
      <w:r w:rsidRPr="00466170">
        <w:t xml:space="preserve">1998); </w:t>
      </w:r>
      <w:r w:rsidRPr="00466170">
        <w:rPr>
          <w:i/>
        </w:rPr>
        <w:t>Kalled v. Albee</w:t>
      </w:r>
      <w:r w:rsidRPr="00466170">
        <w:t>, 712 A.2d 616, 618 (</w:t>
      </w:r>
      <w:r>
        <w:t xml:space="preserve">N.H. </w:t>
      </w:r>
      <w:r w:rsidRPr="00466170">
        <w:t>1998)</w:t>
      </w:r>
      <w:r>
        <w:fldChar w:fldCharType="begin"/>
      </w:r>
      <w:r>
        <w:instrText xml:space="preserve"> TA \l "</w:instrText>
      </w:r>
      <w:r w:rsidRPr="00831D56">
        <w:rPr>
          <w:i/>
        </w:rPr>
        <w:instrText>Kalled v. Albee</w:instrText>
      </w:r>
      <w:r w:rsidRPr="00831D56">
        <w:instrText>, 712 A.2d 616 (N.H. 1998)</w:instrText>
      </w:r>
      <w:r>
        <w:instrText xml:space="preserve">" \s "Kalled v. Albee, 712 A.2d 616, 618 (N.H. 1998)" \c 1 </w:instrText>
      </w:r>
      <w:r>
        <w:fldChar w:fldCharType="end"/>
      </w:r>
      <w:r w:rsidRPr="00466170">
        <w:t xml:space="preserve"> (citing Illinois and Texas authority); </w:t>
      </w:r>
      <w:r w:rsidRPr="00466170">
        <w:rPr>
          <w:i/>
        </w:rPr>
        <w:t>In re Estate of Katchatag</w:t>
      </w:r>
      <w:r w:rsidRPr="00466170">
        <w:t>, 907 P.2d 458, 463</w:t>
      </w:r>
      <w:r>
        <w:t>-</w:t>
      </w:r>
      <w:r w:rsidRPr="00466170">
        <w:t>65 (Alaska 1995) (citing Illinois authority)</w:t>
      </w:r>
      <w:r>
        <w:t xml:space="preserve">; </w:t>
      </w:r>
      <w:r>
        <w:rPr>
          <w:i/>
        </w:rPr>
        <w:t>Ho</w:t>
      </w:r>
      <w:r w:rsidRPr="005E545E">
        <w:rPr>
          <w:i/>
        </w:rPr>
        <w:t>lstein v. Grossman</w:t>
      </w:r>
      <w:r w:rsidRPr="00CB1C00">
        <w:t>, 616 N.E.2d 1224 (Ill. Ct. App. 1993)</w:t>
      </w:r>
      <w:r>
        <w:fldChar w:fldCharType="begin"/>
      </w:r>
      <w:r>
        <w:instrText xml:space="preserve"> TA \l "</w:instrText>
      </w:r>
      <w:r w:rsidRPr="00831D56">
        <w:rPr>
          <w:i/>
        </w:rPr>
        <w:instrText>Holstein v. Grossman</w:instrText>
      </w:r>
      <w:r w:rsidRPr="00831D56">
        <w:instrText>, 616 N.E.2d 1224 (Ill. Ct. App. 1993)</w:instrText>
      </w:r>
      <w:r>
        <w:instrText xml:space="preserve">" \s "Holstein v. Grossman, 616 N.E.2d 1224 (Ill. Ct. App. 1993)" \c 1 </w:instrText>
      </w:r>
      <w:r>
        <w:fldChar w:fldCharType="end"/>
      </w:r>
      <w:r w:rsidRPr="00CB1C00">
        <w:t xml:space="preserve">; </w:t>
      </w:r>
      <w:r w:rsidRPr="00466170">
        <w:rPr>
          <w:i/>
        </w:rPr>
        <w:t>Lemond v. Jamail</w:t>
      </w:r>
      <w:r w:rsidRPr="00466170">
        <w:t>, 763 S.W.2d 910, 914 (Tex.</w:t>
      </w:r>
      <w:r>
        <w:t xml:space="preserve"> </w:t>
      </w:r>
      <w:r w:rsidRPr="00466170">
        <w:t>App. 1988)</w:t>
      </w:r>
      <w:r>
        <w:t xml:space="preserve">; </w:t>
      </w:r>
      <w:r w:rsidRPr="00CB1C00">
        <w:t>B</w:t>
      </w:r>
      <w:r w:rsidRPr="005E545E">
        <w:rPr>
          <w:i/>
        </w:rPr>
        <w:t>elli v. Shaw</w:t>
      </w:r>
      <w:r w:rsidRPr="00CB1C00">
        <w:t>, 657 P.2d 315 (Wash. 1983)</w:t>
      </w:r>
      <w:r>
        <w:t>.</w:t>
      </w:r>
      <w:r w:rsidRPr="00466170">
        <w:t xml:space="preserve"> </w:t>
      </w:r>
      <w:r w:rsidRPr="005E545E">
        <w:rPr>
          <w:i/>
        </w:rPr>
        <w:t>But see</w:t>
      </w:r>
      <w:r w:rsidRPr="00CB1C00">
        <w:t xml:space="preserve"> </w:t>
      </w:r>
      <w:r w:rsidRPr="005E545E">
        <w:rPr>
          <w:i/>
        </w:rPr>
        <w:t>Potter v. Pierce</w:t>
      </w:r>
      <w:r w:rsidRPr="00CB1C00">
        <w:t xml:space="preserve">, 688 A.2d 894 (Del. 1997) (permitting lawyers to divide fee notwithstanding Rule 1.5(e) violation); </w:t>
      </w:r>
      <w:r w:rsidRPr="005E545E">
        <w:rPr>
          <w:i/>
        </w:rPr>
        <w:t>King v. Housel</w:t>
      </w:r>
      <w:r w:rsidRPr="00CB1C00">
        <w:t>, 556 N.E.2d 501 (Ohio 1990)</w:t>
      </w:r>
      <w:r>
        <w:fldChar w:fldCharType="begin"/>
      </w:r>
      <w:r>
        <w:instrText xml:space="preserve"> TA \l "</w:instrText>
      </w:r>
      <w:r w:rsidRPr="00831D56">
        <w:rPr>
          <w:i/>
        </w:rPr>
        <w:instrText>King v. Housel</w:instrText>
      </w:r>
      <w:r w:rsidRPr="00831D56">
        <w:instrText>, 556 N.E.2d 501 (Ohio 1990)</w:instrText>
      </w:r>
      <w:r>
        <w:instrText xml:space="preserve">" \s "King v. Housel, 556 N.E.2d 501 (Ohio 1990)" \c 1 </w:instrText>
      </w:r>
      <w:r>
        <w:fldChar w:fldCharType="end"/>
      </w:r>
      <w:r w:rsidRPr="00CB1C00">
        <w:t xml:space="preserve"> (estopping lawyer from claiming that fee-division agreement was invalid)</w:t>
      </w:r>
      <w:r>
        <w:t>.</w:t>
      </w:r>
    </w:p>
  </w:footnote>
  <w:footnote w:id="13">
    <w:p w14:paraId="0A8627B0" w14:textId="77777777" w:rsidR="00FD2F62" w:rsidRPr="003051F9" w:rsidRDefault="00FD2F62" w:rsidP="00FD2F62">
      <w:pPr>
        <w:pStyle w:val="FootnoteText"/>
        <w:jc w:val="both"/>
      </w:pPr>
      <w:r w:rsidRPr="003051F9">
        <w:rPr>
          <w:rStyle w:val="FootnoteReference"/>
          <w:szCs w:val="24"/>
        </w:rPr>
        <w:footnoteRef/>
      </w:r>
      <w:r w:rsidRPr="003051F9">
        <w:t xml:space="preserve"> The phrase “laws enacted for the protection of the public interest” has the same meaning as “laws for the preservation of public order.” </w:t>
      </w:r>
      <w:r w:rsidRPr="003051F9">
        <w:rPr>
          <w:i/>
        </w:rPr>
        <w:t>See</w:t>
      </w:r>
      <w:r w:rsidRPr="003051F9">
        <w:t xml:space="preserve"> La. Civ. Code art. 7, </w:t>
      </w:r>
      <w:r w:rsidRPr="003051F9">
        <w:t>cmt.</w:t>
      </w:r>
    </w:p>
  </w:footnote>
  <w:footnote w:id="14">
    <w:p w14:paraId="57AD3AF7" w14:textId="77777777" w:rsidR="00FD2F62" w:rsidRPr="00364043" w:rsidRDefault="00FD2F62" w:rsidP="00FD2F62">
      <w:pPr>
        <w:pStyle w:val="FootnoteText"/>
        <w:rPr>
          <w:szCs w:val="24"/>
        </w:rPr>
      </w:pPr>
      <w:r w:rsidRPr="003051F9">
        <w:rPr>
          <w:rStyle w:val="FootnoteReference"/>
          <w:szCs w:val="24"/>
        </w:rPr>
        <w:footnoteRef/>
      </w:r>
      <w:r w:rsidRPr="003051F9">
        <w:rPr>
          <w:szCs w:val="24"/>
        </w:rPr>
        <w:t xml:space="preserve"> “Persons cannot by their contracts ‘derogate from the force of laws made for the preservation of public order or good morals.’” </w:t>
      </w:r>
      <w:r w:rsidRPr="003051F9">
        <w:rPr>
          <w:i/>
          <w:szCs w:val="24"/>
        </w:rPr>
        <w:t xml:space="preserve">Boxwell v. </w:t>
      </w:r>
      <w:r w:rsidRPr="003051F9">
        <w:rPr>
          <w:i/>
          <w:szCs w:val="24"/>
        </w:rPr>
        <w:t>Dep't of Highways</w:t>
      </w:r>
      <w:r w:rsidRPr="003051F9">
        <w:rPr>
          <w:szCs w:val="24"/>
        </w:rPr>
        <w:t>, 14 So.2d 627, 633 (La. 1943).</w:t>
      </w:r>
    </w:p>
  </w:footnote>
  <w:footnote w:id="15">
    <w:p w14:paraId="2BBC0BA2" w14:textId="77777777" w:rsidR="00FD2F62" w:rsidRPr="003051F9" w:rsidRDefault="00FD2F62" w:rsidP="00FD2F62">
      <w:pPr>
        <w:pStyle w:val="FootnoteText"/>
        <w:rPr>
          <w:szCs w:val="24"/>
        </w:rPr>
      </w:pPr>
      <w:r w:rsidRPr="003051F9">
        <w:rPr>
          <w:rStyle w:val="FootnoteReference"/>
          <w:szCs w:val="24"/>
        </w:rPr>
        <w:footnoteRef/>
      </w:r>
      <w:r w:rsidRPr="003051F9">
        <w:rPr>
          <w:szCs w:val="24"/>
        </w:rPr>
        <w:t xml:space="preserve"> </w:t>
      </w:r>
      <w:r w:rsidRPr="003051F9">
        <w:rPr>
          <w:i/>
          <w:szCs w:val="24"/>
        </w:rPr>
        <w:t xml:space="preserve">See, e.g., </w:t>
      </w:r>
      <w:r w:rsidRPr="003051F9">
        <w:rPr>
          <w:szCs w:val="24"/>
        </w:rPr>
        <w:t>La. Rules of Prof</w:t>
      </w:r>
      <w:r>
        <w:rPr>
          <w:szCs w:val="24"/>
        </w:rPr>
        <w:t>.</w:t>
      </w:r>
      <w:r w:rsidRPr="003051F9">
        <w:rPr>
          <w:szCs w:val="24"/>
        </w:rPr>
        <w:t xml:space="preserve"> Conduct</w:t>
      </w:r>
      <w:r>
        <w:rPr>
          <w:szCs w:val="24"/>
        </w:rPr>
        <w:t>,</w:t>
      </w:r>
      <w:r w:rsidRPr="003051F9">
        <w:rPr>
          <w:szCs w:val="24"/>
        </w:rPr>
        <w:t xml:space="preserve"> </w:t>
      </w:r>
      <w:r>
        <w:rPr>
          <w:szCs w:val="24"/>
        </w:rPr>
        <w:t>Rule</w:t>
      </w:r>
      <w:r w:rsidRPr="003051F9">
        <w:rPr>
          <w:szCs w:val="24"/>
        </w:rPr>
        <w:t xml:space="preserve"> 3.3 (Candor to the Tribunal)</w:t>
      </w:r>
      <w:r>
        <w:rPr>
          <w:szCs w:val="24"/>
        </w:rPr>
        <w:t>; Rule</w:t>
      </w:r>
      <w:r w:rsidRPr="003051F9">
        <w:rPr>
          <w:szCs w:val="24"/>
        </w:rPr>
        <w:t xml:space="preserve"> 3.4 (Fairness to Opposing Party and Counsel)</w:t>
      </w:r>
      <w:r>
        <w:rPr>
          <w:szCs w:val="24"/>
        </w:rPr>
        <w:t>; Rule</w:t>
      </w:r>
      <w:r w:rsidRPr="003051F9">
        <w:rPr>
          <w:szCs w:val="24"/>
        </w:rPr>
        <w:t xml:space="preserve"> 4.1(b) (Truthfulness in Statements to Others)</w:t>
      </w:r>
      <w:r>
        <w:rPr>
          <w:szCs w:val="24"/>
        </w:rPr>
        <w:t>; Rule</w:t>
      </w:r>
      <w:r w:rsidRPr="003051F9">
        <w:rPr>
          <w:szCs w:val="24"/>
        </w:rPr>
        <w:t xml:space="preserve"> 8.3(a) (Reporting Professional Misconduct).</w:t>
      </w:r>
    </w:p>
  </w:footnote>
  <w:footnote w:id="16">
    <w:p w14:paraId="6817053D" w14:textId="77777777" w:rsidR="00FD2F62" w:rsidRPr="003051F9" w:rsidRDefault="00FD2F62" w:rsidP="00FD2F62">
      <w:pPr>
        <w:pStyle w:val="FootnoteText"/>
        <w:rPr>
          <w:szCs w:val="24"/>
        </w:rPr>
      </w:pPr>
      <w:r w:rsidRPr="003051F9">
        <w:rPr>
          <w:rStyle w:val="FootnoteReference"/>
          <w:szCs w:val="24"/>
        </w:rPr>
        <w:footnoteRef/>
      </w:r>
      <w:r w:rsidRPr="003051F9">
        <w:rPr>
          <w:szCs w:val="24"/>
        </w:rPr>
        <w:t xml:space="preserve"> </w:t>
      </w:r>
      <w:r w:rsidRPr="003051F9">
        <w:rPr>
          <w:i/>
          <w:szCs w:val="24"/>
        </w:rPr>
        <w:t>See, e.g.</w:t>
      </w:r>
      <w:r w:rsidRPr="003051F9">
        <w:rPr>
          <w:szCs w:val="24"/>
        </w:rPr>
        <w:t xml:space="preserve">, </w:t>
      </w:r>
      <w:r w:rsidRPr="003051F9">
        <w:rPr>
          <w:i/>
          <w:szCs w:val="24"/>
        </w:rPr>
        <w:t>id.,</w:t>
      </w:r>
      <w:r w:rsidRPr="003051F9">
        <w:rPr>
          <w:szCs w:val="24"/>
        </w:rPr>
        <w:t xml:space="preserve"> </w:t>
      </w:r>
      <w:r>
        <w:rPr>
          <w:szCs w:val="24"/>
        </w:rPr>
        <w:t>Rule</w:t>
      </w:r>
      <w:r w:rsidRPr="003051F9">
        <w:rPr>
          <w:szCs w:val="24"/>
        </w:rPr>
        <w:t xml:space="preserve"> 5.4 (Professional Independence of a Lawyer).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27E7"/>
    <w:multiLevelType w:val="hybridMultilevel"/>
    <w:tmpl w:val="9844E9B8"/>
    <w:lvl w:ilvl="0" w:tplc="657A8DB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318C1"/>
    <w:multiLevelType w:val="hybridMultilevel"/>
    <w:tmpl w:val="F9A6F9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B5508D"/>
    <w:multiLevelType w:val="hybridMultilevel"/>
    <w:tmpl w:val="63ECC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D356E"/>
    <w:multiLevelType w:val="hybridMultilevel"/>
    <w:tmpl w:val="138431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FF4821"/>
    <w:multiLevelType w:val="hybridMultilevel"/>
    <w:tmpl w:val="B622CA20"/>
    <w:lvl w:ilvl="0" w:tplc="CFC2F9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F50BE"/>
    <w:multiLevelType w:val="hybridMultilevel"/>
    <w:tmpl w:val="8594092E"/>
    <w:lvl w:ilvl="0" w:tplc="1370F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5D3037"/>
    <w:multiLevelType w:val="hybridMultilevel"/>
    <w:tmpl w:val="5128F48E"/>
    <w:lvl w:ilvl="0" w:tplc="FFFFFFFF">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7D59DA"/>
    <w:multiLevelType w:val="hybridMultilevel"/>
    <w:tmpl w:val="FFA64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A64D95"/>
    <w:multiLevelType w:val="hybridMultilevel"/>
    <w:tmpl w:val="73B0C716"/>
    <w:lvl w:ilvl="0" w:tplc="8DE27D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D461DB"/>
    <w:multiLevelType w:val="hybridMultilevel"/>
    <w:tmpl w:val="967452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9221B1"/>
    <w:multiLevelType w:val="hybridMultilevel"/>
    <w:tmpl w:val="02105E6A"/>
    <w:lvl w:ilvl="0" w:tplc="0688D9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2207BD"/>
    <w:multiLevelType w:val="hybridMultilevel"/>
    <w:tmpl w:val="DDDCF110"/>
    <w:lvl w:ilvl="0" w:tplc="E34441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CB42BFE"/>
    <w:multiLevelType w:val="hybridMultilevel"/>
    <w:tmpl w:val="5282B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B65261"/>
    <w:multiLevelType w:val="hybridMultilevel"/>
    <w:tmpl w:val="2E2CC20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EDC64D8"/>
    <w:multiLevelType w:val="hybridMultilevel"/>
    <w:tmpl w:val="4444411A"/>
    <w:lvl w:ilvl="0" w:tplc="D866529E">
      <w:start w:val="1"/>
      <w:numFmt w:val="decimal"/>
      <w:lvlText w:val="%1."/>
      <w:lvlJc w:val="left"/>
      <w:pPr>
        <w:ind w:left="1080" w:hanging="720"/>
      </w:pPr>
      <w:rPr>
        <w:rFonts w:ascii="Times New Roman" w:eastAsiaTheme="minorEastAsia"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3E2532"/>
    <w:multiLevelType w:val="hybridMultilevel"/>
    <w:tmpl w:val="6D363E62"/>
    <w:lvl w:ilvl="0" w:tplc="D41A9D7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AA054E2"/>
    <w:multiLevelType w:val="hybridMultilevel"/>
    <w:tmpl w:val="E942501C"/>
    <w:lvl w:ilvl="0" w:tplc="1B2A63C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4034B7"/>
    <w:multiLevelType w:val="hybridMultilevel"/>
    <w:tmpl w:val="785E38B4"/>
    <w:lvl w:ilvl="0" w:tplc="B5A27C82">
      <w:start w:val="1"/>
      <w:numFmt w:val="decimal"/>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8996720">
    <w:abstractNumId w:val="10"/>
  </w:num>
  <w:num w:numId="2" w16cid:durableId="1089422899">
    <w:abstractNumId w:val="7"/>
  </w:num>
  <w:num w:numId="3" w16cid:durableId="1280407781">
    <w:abstractNumId w:val="2"/>
  </w:num>
  <w:num w:numId="4" w16cid:durableId="131338398">
    <w:abstractNumId w:val="12"/>
  </w:num>
  <w:num w:numId="5" w16cid:durableId="1910923538">
    <w:abstractNumId w:val="0"/>
  </w:num>
  <w:num w:numId="6" w16cid:durableId="376702858">
    <w:abstractNumId w:val="13"/>
  </w:num>
  <w:num w:numId="7" w16cid:durableId="1168517925">
    <w:abstractNumId w:val="6"/>
  </w:num>
  <w:num w:numId="8" w16cid:durableId="2015842378">
    <w:abstractNumId w:val="8"/>
  </w:num>
  <w:num w:numId="9" w16cid:durableId="1265188199">
    <w:abstractNumId w:val="11"/>
  </w:num>
  <w:num w:numId="10" w16cid:durableId="1664164342">
    <w:abstractNumId w:val="15"/>
  </w:num>
  <w:num w:numId="11" w16cid:durableId="690566051">
    <w:abstractNumId w:val="9"/>
  </w:num>
  <w:num w:numId="12" w16cid:durableId="1077437993">
    <w:abstractNumId w:val="4"/>
  </w:num>
  <w:num w:numId="13" w16cid:durableId="633681032">
    <w:abstractNumId w:val="17"/>
  </w:num>
  <w:num w:numId="14" w16cid:durableId="841091161">
    <w:abstractNumId w:val="14"/>
  </w:num>
  <w:num w:numId="15" w16cid:durableId="1692608479">
    <w:abstractNumId w:val="16"/>
  </w:num>
  <w:num w:numId="16" w16cid:durableId="1765570824">
    <w:abstractNumId w:val="3"/>
  </w:num>
  <w:num w:numId="17" w16cid:durableId="72289176">
    <w:abstractNumId w:val="1"/>
  </w:num>
  <w:num w:numId="18" w16cid:durableId="5789503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B7B"/>
    <w:rsid w:val="00005B0C"/>
    <w:rsid w:val="0001479D"/>
    <w:rsid w:val="00014B71"/>
    <w:rsid w:val="0001597B"/>
    <w:rsid w:val="00017B7B"/>
    <w:rsid w:val="000209E9"/>
    <w:rsid w:val="000256B8"/>
    <w:rsid w:val="00030DDB"/>
    <w:rsid w:val="000342A1"/>
    <w:rsid w:val="00034383"/>
    <w:rsid w:val="000361F2"/>
    <w:rsid w:val="00041D4C"/>
    <w:rsid w:val="00042BB5"/>
    <w:rsid w:val="00045802"/>
    <w:rsid w:val="000464E0"/>
    <w:rsid w:val="00050109"/>
    <w:rsid w:val="00053F61"/>
    <w:rsid w:val="00057109"/>
    <w:rsid w:val="00070BD3"/>
    <w:rsid w:val="00070CF1"/>
    <w:rsid w:val="0007153F"/>
    <w:rsid w:val="0007239A"/>
    <w:rsid w:val="000821D8"/>
    <w:rsid w:val="00085FD0"/>
    <w:rsid w:val="00094B45"/>
    <w:rsid w:val="000A146C"/>
    <w:rsid w:val="000A662A"/>
    <w:rsid w:val="000A6C5B"/>
    <w:rsid w:val="000B75EE"/>
    <w:rsid w:val="000C237D"/>
    <w:rsid w:val="000D1F02"/>
    <w:rsid w:val="000D3A04"/>
    <w:rsid w:val="000D4BDB"/>
    <w:rsid w:val="000E3E56"/>
    <w:rsid w:val="000E5AE8"/>
    <w:rsid w:val="000F0F34"/>
    <w:rsid w:val="00101044"/>
    <w:rsid w:val="0010396A"/>
    <w:rsid w:val="001068D0"/>
    <w:rsid w:val="0011015C"/>
    <w:rsid w:val="00110222"/>
    <w:rsid w:val="001106F5"/>
    <w:rsid w:val="0011689C"/>
    <w:rsid w:val="00116F91"/>
    <w:rsid w:val="00120FE4"/>
    <w:rsid w:val="0012669C"/>
    <w:rsid w:val="00134821"/>
    <w:rsid w:val="00146399"/>
    <w:rsid w:val="00151565"/>
    <w:rsid w:val="001524FA"/>
    <w:rsid w:val="00153085"/>
    <w:rsid w:val="001542A9"/>
    <w:rsid w:val="00154C58"/>
    <w:rsid w:val="00155C4E"/>
    <w:rsid w:val="001611CC"/>
    <w:rsid w:val="00165C9D"/>
    <w:rsid w:val="001660AF"/>
    <w:rsid w:val="0017184E"/>
    <w:rsid w:val="00177B21"/>
    <w:rsid w:val="00177CED"/>
    <w:rsid w:val="0018084E"/>
    <w:rsid w:val="00181B44"/>
    <w:rsid w:val="001861C4"/>
    <w:rsid w:val="00192E22"/>
    <w:rsid w:val="001A092E"/>
    <w:rsid w:val="001A0D0E"/>
    <w:rsid w:val="001B32F9"/>
    <w:rsid w:val="001B5C78"/>
    <w:rsid w:val="001C3DF5"/>
    <w:rsid w:val="001C5F9F"/>
    <w:rsid w:val="001C7FC1"/>
    <w:rsid w:val="001D0191"/>
    <w:rsid w:val="001D19A3"/>
    <w:rsid w:val="001D1AB5"/>
    <w:rsid w:val="001D4C10"/>
    <w:rsid w:val="001D7237"/>
    <w:rsid w:val="001D7B02"/>
    <w:rsid w:val="001E0462"/>
    <w:rsid w:val="001E237C"/>
    <w:rsid w:val="001E2D9E"/>
    <w:rsid w:val="001E5359"/>
    <w:rsid w:val="001E611C"/>
    <w:rsid w:val="001E7B4C"/>
    <w:rsid w:val="001F1F0B"/>
    <w:rsid w:val="001F3570"/>
    <w:rsid w:val="001F766A"/>
    <w:rsid w:val="0020454E"/>
    <w:rsid w:val="00207CEE"/>
    <w:rsid w:val="00207E08"/>
    <w:rsid w:val="002154A9"/>
    <w:rsid w:val="002222B0"/>
    <w:rsid w:val="00223107"/>
    <w:rsid w:val="00223B8E"/>
    <w:rsid w:val="0022473C"/>
    <w:rsid w:val="0023190F"/>
    <w:rsid w:val="0024023F"/>
    <w:rsid w:val="00240A08"/>
    <w:rsid w:val="00252C53"/>
    <w:rsid w:val="00253201"/>
    <w:rsid w:val="00255862"/>
    <w:rsid w:val="00255CB2"/>
    <w:rsid w:val="0026219D"/>
    <w:rsid w:val="002629DD"/>
    <w:rsid w:val="00265C9A"/>
    <w:rsid w:val="0028586A"/>
    <w:rsid w:val="00286353"/>
    <w:rsid w:val="00291ED4"/>
    <w:rsid w:val="00295250"/>
    <w:rsid w:val="0029655C"/>
    <w:rsid w:val="002971BC"/>
    <w:rsid w:val="002A7EB2"/>
    <w:rsid w:val="002B3D3E"/>
    <w:rsid w:val="002B6BF7"/>
    <w:rsid w:val="002C5305"/>
    <w:rsid w:val="002D0041"/>
    <w:rsid w:val="002D056B"/>
    <w:rsid w:val="002D0E59"/>
    <w:rsid w:val="002D32DA"/>
    <w:rsid w:val="002D5B7E"/>
    <w:rsid w:val="002D749B"/>
    <w:rsid w:val="002E0478"/>
    <w:rsid w:val="002E781D"/>
    <w:rsid w:val="00301AF0"/>
    <w:rsid w:val="00310059"/>
    <w:rsid w:val="003150E4"/>
    <w:rsid w:val="0031552F"/>
    <w:rsid w:val="0031762D"/>
    <w:rsid w:val="00320D64"/>
    <w:rsid w:val="003277D2"/>
    <w:rsid w:val="00335528"/>
    <w:rsid w:val="00336419"/>
    <w:rsid w:val="00337807"/>
    <w:rsid w:val="00343EEC"/>
    <w:rsid w:val="00344C5C"/>
    <w:rsid w:val="003533D4"/>
    <w:rsid w:val="0035717E"/>
    <w:rsid w:val="0035736C"/>
    <w:rsid w:val="0036164C"/>
    <w:rsid w:val="00362526"/>
    <w:rsid w:val="003677A6"/>
    <w:rsid w:val="003914FC"/>
    <w:rsid w:val="00392F24"/>
    <w:rsid w:val="00392F72"/>
    <w:rsid w:val="003A1D98"/>
    <w:rsid w:val="003B4B5D"/>
    <w:rsid w:val="003B7E4D"/>
    <w:rsid w:val="003C3456"/>
    <w:rsid w:val="003C44D9"/>
    <w:rsid w:val="003C5E4B"/>
    <w:rsid w:val="003C7A65"/>
    <w:rsid w:val="003E03C3"/>
    <w:rsid w:val="003E3039"/>
    <w:rsid w:val="003F27B6"/>
    <w:rsid w:val="003F7604"/>
    <w:rsid w:val="003F78CA"/>
    <w:rsid w:val="00401928"/>
    <w:rsid w:val="00404341"/>
    <w:rsid w:val="00406FCF"/>
    <w:rsid w:val="004077BC"/>
    <w:rsid w:val="00407906"/>
    <w:rsid w:val="004177CE"/>
    <w:rsid w:val="00417FB9"/>
    <w:rsid w:val="0042394C"/>
    <w:rsid w:val="004239F3"/>
    <w:rsid w:val="004258DA"/>
    <w:rsid w:val="00431357"/>
    <w:rsid w:val="00432936"/>
    <w:rsid w:val="00434047"/>
    <w:rsid w:val="00437920"/>
    <w:rsid w:val="00440130"/>
    <w:rsid w:val="00443BC0"/>
    <w:rsid w:val="004537F2"/>
    <w:rsid w:val="0045504F"/>
    <w:rsid w:val="004559FE"/>
    <w:rsid w:val="00464763"/>
    <w:rsid w:val="0046579D"/>
    <w:rsid w:val="004724C7"/>
    <w:rsid w:val="00472CE7"/>
    <w:rsid w:val="004758A0"/>
    <w:rsid w:val="00480718"/>
    <w:rsid w:val="00480B30"/>
    <w:rsid w:val="004810BA"/>
    <w:rsid w:val="0048198A"/>
    <w:rsid w:val="0048302E"/>
    <w:rsid w:val="004846D8"/>
    <w:rsid w:val="00486EA5"/>
    <w:rsid w:val="00491AA7"/>
    <w:rsid w:val="00494D51"/>
    <w:rsid w:val="004A5AAA"/>
    <w:rsid w:val="004A5C6A"/>
    <w:rsid w:val="004A7CCB"/>
    <w:rsid w:val="004A7E48"/>
    <w:rsid w:val="004B5157"/>
    <w:rsid w:val="004B5A0B"/>
    <w:rsid w:val="004B5A1E"/>
    <w:rsid w:val="004C1D86"/>
    <w:rsid w:val="004C6AE0"/>
    <w:rsid w:val="004D2842"/>
    <w:rsid w:val="004D356D"/>
    <w:rsid w:val="004D6112"/>
    <w:rsid w:val="004D6B1D"/>
    <w:rsid w:val="004D7F08"/>
    <w:rsid w:val="004E01CB"/>
    <w:rsid w:val="004E6087"/>
    <w:rsid w:val="004F18D3"/>
    <w:rsid w:val="004F35DE"/>
    <w:rsid w:val="005020E8"/>
    <w:rsid w:val="00513C13"/>
    <w:rsid w:val="005274DF"/>
    <w:rsid w:val="0053013E"/>
    <w:rsid w:val="00530C8D"/>
    <w:rsid w:val="0053608B"/>
    <w:rsid w:val="00541CE9"/>
    <w:rsid w:val="00542A78"/>
    <w:rsid w:val="005437F3"/>
    <w:rsid w:val="00544F1F"/>
    <w:rsid w:val="00547732"/>
    <w:rsid w:val="00556C7A"/>
    <w:rsid w:val="0056099B"/>
    <w:rsid w:val="00561A29"/>
    <w:rsid w:val="00565E27"/>
    <w:rsid w:val="00566C0B"/>
    <w:rsid w:val="0056756F"/>
    <w:rsid w:val="00571228"/>
    <w:rsid w:val="0057491F"/>
    <w:rsid w:val="00575CC5"/>
    <w:rsid w:val="00575D97"/>
    <w:rsid w:val="0058110D"/>
    <w:rsid w:val="00582F7F"/>
    <w:rsid w:val="00583B21"/>
    <w:rsid w:val="00585B91"/>
    <w:rsid w:val="005869D3"/>
    <w:rsid w:val="00586EBC"/>
    <w:rsid w:val="00587E07"/>
    <w:rsid w:val="005A1DE4"/>
    <w:rsid w:val="005A33C9"/>
    <w:rsid w:val="005A579B"/>
    <w:rsid w:val="005B5CE3"/>
    <w:rsid w:val="005C7FA3"/>
    <w:rsid w:val="005D5901"/>
    <w:rsid w:val="005E1027"/>
    <w:rsid w:val="005E1B17"/>
    <w:rsid w:val="005E4283"/>
    <w:rsid w:val="005F0BEF"/>
    <w:rsid w:val="005F7191"/>
    <w:rsid w:val="005F7907"/>
    <w:rsid w:val="006078BE"/>
    <w:rsid w:val="006101B5"/>
    <w:rsid w:val="00611FAB"/>
    <w:rsid w:val="00621D8B"/>
    <w:rsid w:val="00624395"/>
    <w:rsid w:val="00624E9C"/>
    <w:rsid w:val="006252DE"/>
    <w:rsid w:val="0062574A"/>
    <w:rsid w:val="00625AF1"/>
    <w:rsid w:val="00626626"/>
    <w:rsid w:val="0062799E"/>
    <w:rsid w:val="00634735"/>
    <w:rsid w:val="00635671"/>
    <w:rsid w:val="0064207C"/>
    <w:rsid w:val="0064269D"/>
    <w:rsid w:val="006451A9"/>
    <w:rsid w:val="0064745A"/>
    <w:rsid w:val="00651885"/>
    <w:rsid w:val="00656D38"/>
    <w:rsid w:val="006605A1"/>
    <w:rsid w:val="00660957"/>
    <w:rsid w:val="00661617"/>
    <w:rsid w:val="00664A6C"/>
    <w:rsid w:val="00671B16"/>
    <w:rsid w:val="0068095F"/>
    <w:rsid w:val="00690AA7"/>
    <w:rsid w:val="00690F27"/>
    <w:rsid w:val="00696601"/>
    <w:rsid w:val="0069663E"/>
    <w:rsid w:val="006A1960"/>
    <w:rsid w:val="006A4FCF"/>
    <w:rsid w:val="006A56D4"/>
    <w:rsid w:val="006B2EBA"/>
    <w:rsid w:val="006B3736"/>
    <w:rsid w:val="006B42DD"/>
    <w:rsid w:val="006B7803"/>
    <w:rsid w:val="006C30C5"/>
    <w:rsid w:val="006C423D"/>
    <w:rsid w:val="006D048F"/>
    <w:rsid w:val="006D1211"/>
    <w:rsid w:val="006D1998"/>
    <w:rsid w:val="006D247D"/>
    <w:rsid w:val="006E0938"/>
    <w:rsid w:val="006E2839"/>
    <w:rsid w:val="006E428D"/>
    <w:rsid w:val="006E4E0A"/>
    <w:rsid w:val="006F4578"/>
    <w:rsid w:val="006F5873"/>
    <w:rsid w:val="006F60AC"/>
    <w:rsid w:val="00701491"/>
    <w:rsid w:val="00703548"/>
    <w:rsid w:val="00712251"/>
    <w:rsid w:val="0071320C"/>
    <w:rsid w:val="00720E4B"/>
    <w:rsid w:val="00721F60"/>
    <w:rsid w:val="00723EF5"/>
    <w:rsid w:val="00736576"/>
    <w:rsid w:val="00736BDE"/>
    <w:rsid w:val="007416C6"/>
    <w:rsid w:val="00742D51"/>
    <w:rsid w:val="007445E5"/>
    <w:rsid w:val="00744C17"/>
    <w:rsid w:val="00747D50"/>
    <w:rsid w:val="00760202"/>
    <w:rsid w:val="0076365E"/>
    <w:rsid w:val="007673B4"/>
    <w:rsid w:val="007726B8"/>
    <w:rsid w:val="00773614"/>
    <w:rsid w:val="00783D5C"/>
    <w:rsid w:val="007871D6"/>
    <w:rsid w:val="0079625E"/>
    <w:rsid w:val="007A4737"/>
    <w:rsid w:val="007A588B"/>
    <w:rsid w:val="007B06A5"/>
    <w:rsid w:val="007B6308"/>
    <w:rsid w:val="007C073E"/>
    <w:rsid w:val="007C0B8A"/>
    <w:rsid w:val="007C2FF1"/>
    <w:rsid w:val="007D30A2"/>
    <w:rsid w:val="007D3D5E"/>
    <w:rsid w:val="007D531B"/>
    <w:rsid w:val="007D5FE4"/>
    <w:rsid w:val="007D6774"/>
    <w:rsid w:val="007E2328"/>
    <w:rsid w:val="007E32AB"/>
    <w:rsid w:val="007E4663"/>
    <w:rsid w:val="007E5634"/>
    <w:rsid w:val="007E57CC"/>
    <w:rsid w:val="007E6E29"/>
    <w:rsid w:val="007E7823"/>
    <w:rsid w:val="007F10DD"/>
    <w:rsid w:val="007F1D2D"/>
    <w:rsid w:val="007F4BC1"/>
    <w:rsid w:val="00801C99"/>
    <w:rsid w:val="008049EF"/>
    <w:rsid w:val="00813910"/>
    <w:rsid w:val="00830A5C"/>
    <w:rsid w:val="008323B9"/>
    <w:rsid w:val="00834489"/>
    <w:rsid w:val="00835292"/>
    <w:rsid w:val="008356A8"/>
    <w:rsid w:val="00835A3C"/>
    <w:rsid w:val="00836A2E"/>
    <w:rsid w:val="00837FC7"/>
    <w:rsid w:val="00841A8D"/>
    <w:rsid w:val="0084525C"/>
    <w:rsid w:val="00861934"/>
    <w:rsid w:val="00861B8C"/>
    <w:rsid w:val="008659C5"/>
    <w:rsid w:val="008672BB"/>
    <w:rsid w:val="008747E6"/>
    <w:rsid w:val="008755BB"/>
    <w:rsid w:val="00880E94"/>
    <w:rsid w:val="00881142"/>
    <w:rsid w:val="0088516F"/>
    <w:rsid w:val="00887ADF"/>
    <w:rsid w:val="008930F3"/>
    <w:rsid w:val="00893A70"/>
    <w:rsid w:val="00895850"/>
    <w:rsid w:val="008970D5"/>
    <w:rsid w:val="008A503F"/>
    <w:rsid w:val="008A6002"/>
    <w:rsid w:val="008B2872"/>
    <w:rsid w:val="008B3A34"/>
    <w:rsid w:val="008B5D9B"/>
    <w:rsid w:val="008C3D2E"/>
    <w:rsid w:val="008D1171"/>
    <w:rsid w:val="008D22AD"/>
    <w:rsid w:val="008D6FE0"/>
    <w:rsid w:val="008D788C"/>
    <w:rsid w:val="008D7DB2"/>
    <w:rsid w:val="008E01C8"/>
    <w:rsid w:val="008E43F8"/>
    <w:rsid w:val="008F1CF4"/>
    <w:rsid w:val="008F313C"/>
    <w:rsid w:val="00901208"/>
    <w:rsid w:val="0091601F"/>
    <w:rsid w:val="00917A80"/>
    <w:rsid w:val="00917ABA"/>
    <w:rsid w:val="009253B6"/>
    <w:rsid w:val="009304C9"/>
    <w:rsid w:val="00930FDA"/>
    <w:rsid w:val="0093431E"/>
    <w:rsid w:val="0093456F"/>
    <w:rsid w:val="00947A2F"/>
    <w:rsid w:val="009511F5"/>
    <w:rsid w:val="00954441"/>
    <w:rsid w:val="0096101B"/>
    <w:rsid w:val="0096460F"/>
    <w:rsid w:val="00967AE1"/>
    <w:rsid w:val="00982E11"/>
    <w:rsid w:val="00983563"/>
    <w:rsid w:val="00990961"/>
    <w:rsid w:val="00992F26"/>
    <w:rsid w:val="0099483F"/>
    <w:rsid w:val="009A5E97"/>
    <w:rsid w:val="009B02A5"/>
    <w:rsid w:val="009B5ABC"/>
    <w:rsid w:val="009B7108"/>
    <w:rsid w:val="009D42CC"/>
    <w:rsid w:val="009D5A80"/>
    <w:rsid w:val="009D5DF0"/>
    <w:rsid w:val="009D69D4"/>
    <w:rsid w:val="009E2F51"/>
    <w:rsid w:val="009E317D"/>
    <w:rsid w:val="009E31D5"/>
    <w:rsid w:val="009E6B74"/>
    <w:rsid w:val="009F023E"/>
    <w:rsid w:val="009F11EC"/>
    <w:rsid w:val="009F4FED"/>
    <w:rsid w:val="00A0606A"/>
    <w:rsid w:val="00A102E1"/>
    <w:rsid w:val="00A113BA"/>
    <w:rsid w:val="00A1427D"/>
    <w:rsid w:val="00A2101C"/>
    <w:rsid w:val="00A23123"/>
    <w:rsid w:val="00A244F7"/>
    <w:rsid w:val="00A25106"/>
    <w:rsid w:val="00A3189A"/>
    <w:rsid w:val="00A371E7"/>
    <w:rsid w:val="00A43FD1"/>
    <w:rsid w:val="00A444F4"/>
    <w:rsid w:val="00A52BEC"/>
    <w:rsid w:val="00A52CCB"/>
    <w:rsid w:val="00A53B59"/>
    <w:rsid w:val="00A57FAA"/>
    <w:rsid w:val="00A60F10"/>
    <w:rsid w:val="00A75DC3"/>
    <w:rsid w:val="00A76E4B"/>
    <w:rsid w:val="00A773C6"/>
    <w:rsid w:val="00A86CDB"/>
    <w:rsid w:val="00A901CA"/>
    <w:rsid w:val="00A939F9"/>
    <w:rsid w:val="00A95979"/>
    <w:rsid w:val="00A976E0"/>
    <w:rsid w:val="00AA1689"/>
    <w:rsid w:val="00AA340F"/>
    <w:rsid w:val="00AA7ADA"/>
    <w:rsid w:val="00AB010E"/>
    <w:rsid w:val="00AB1ECD"/>
    <w:rsid w:val="00AB1FEF"/>
    <w:rsid w:val="00AB37A7"/>
    <w:rsid w:val="00AB4CE2"/>
    <w:rsid w:val="00AB52F7"/>
    <w:rsid w:val="00AB5E42"/>
    <w:rsid w:val="00AB61A4"/>
    <w:rsid w:val="00AC04DA"/>
    <w:rsid w:val="00AC33BA"/>
    <w:rsid w:val="00AC6CFD"/>
    <w:rsid w:val="00AD033A"/>
    <w:rsid w:val="00AE03E0"/>
    <w:rsid w:val="00AE17E9"/>
    <w:rsid w:val="00AE1AF1"/>
    <w:rsid w:val="00AE2F38"/>
    <w:rsid w:val="00AF0493"/>
    <w:rsid w:val="00AF419E"/>
    <w:rsid w:val="00B04C4C"/>
    <w:rsid w:val="00B07786"/>
    <w:rsid w:val="00B16FEB"/>
    <w:rsid w:val="00B17641"/>
    <w:rsid w:val="00B35A10"/>
    <w:rsid w:val="00B44291"/>
    <w:rsid w:val="00B44C27"/>
    <w:rsid w:val="00B45FBA"/>
    <w:rsid w:val="00B55D88"/>
    <w:rsid w:val="00B678E6"/>
    <w:rsid w:val="00B71954"/>
    <w:rsid w:val="00B71E35"/>
    <w:rsid w:val="00B8326C"/>
    <w:rsid w:val="00B8410B"/>
    <w:rsid w:val="00B87215"/>
    <w:rsid w:val="00B91171"/>
    <w:rsid w:val="00B925DC"/>
    <w:rsid w:val="00B9421F"/>
    <w:rsid w:val="00B965A0"/>
    <w:rsid w:val="00BA2689"/>
    <w:rsid w:val="00BB5E77"/>
    <w:rsid w:val="00BC032F"/>
    <w:rsid w:val="00BC6004"/>
    <w:rsid w:val="00BD4CAD"/>
    <w:rsid w:val="00BE4016"/>
    <w:rsid w:val="00BE4F31"/>
    <w:rsid w:val="00BE6196"/>
    <w:rsid w:val="00BE78B7"/>
    <w:rsid w:val="00BF095B"/>
    <w:rsid w:val="00BF6E9A"/>
    <w:rsid w:val="00C02851"/>
    <w:rsid w:val="00C0557B"/>
    <w:rsid w:val="00C14001"/>
    <w:rsid w:val="00C17033"/>
    <w:rsid w:val="00C17471"/>
    <w:rsid w:val="00C17CFC"/>
    <w:rsid w:val="00C22CCE"/>
    <w:rsid w:val="00C23F45"/>
    <w:rsid w:val="00C33872"/>
    <w:rsid w:val="00C34965"/>
    <w:rsid w:val="00C517CE"/>
    <w:rsid w:val="00C532DB"/>
    <w:rsid w:val="00C534C0"/>
    <w:rsid w:val="00C566F8"/>
    <w:rsid w:val="00C72DE1"/>
    <w:rsid w:val="00C7574F"/>
    <w:rsid w:val="00C83F25"/>
    <w:rsid w:val="00C859F6"/>
    <w:rsid w:val="00C91F8D"/>
    <w:rsid w:val="00C979C8"/>
    <w:rsid w:val="00C97D54"/>
    <w:rsid w:val="00CA014D"/>
    <w:rsid w:val="00CB4E06"/>
    <w:rsid w:val="00CC280A"/>
    <w:rsid w:val="00CD17F3"/>
    <w:rsid w:val="00CE0319"/>
    <w:rsid w:val="00CE03B4"/>
    <w:rsid w:val="00CE4BBC"/>
    <w:rsid w:val="00CF1B0D"/>
    <w:rsid w:val="00CF2D28"/>
    <w:rsid w:val="00CF675F"/>
    <w:rsid w:val="00D05BAE"/>
    <w:rsid w:val="00D13174"/>
    <w:rsid w:val="00D17314"/>
    <w:rsid w:val="00D23FC7"/>
    <w:rsid w:val="00D444DC"/>
    <w:rsid w:val="00D45B4F"/>
    <w:rsid w:val="00D47264"/>
    <w:rsid w:val="00D537CF"/>
    <w:rsid w:val="00D538DA"/>
    <w:rsid w:val="00D564BC"/>
    <w:rsid w:val="00D618A1"/>
    <w:rsid w:val="00D61910"/>
    <w:rsid w:val="00D61F9A"/>
    <w:rsid w:val="00D66859"/>
    <w:rsid w:val="00D67E58"/>
    <w:rsid w:val="00D710B7"/>
    <w:rsid w:val="00D725F8"/>
    <w:rsid w:val="00D72C05"/>
    <w:rsid w:val="00D73826"/>
    <w:rsid w:val="00D9074F"/>
    <w:rsid w:val="00D96D11"/>
    <w:rsid w:val="00DA18E6"/>
    <w:rsid w:val="00DA211B"/>
    <w:rsid w:val="00DA253C"/>
    <w:rsid w:val="00DA762F"/>
    <w:rsid w:val="00DB57B3"/>
    <w:rsid w:val="00DB7A78"/>
    <w:rsid w:val="00DC03A8"/>
    <w:rsid w:val="00DC46CE"/>
    <w:rsid w:val="00DD035B"/>
    <w:rsid w:val="00DD4158"/>
    <w:rsid w:val="00DD7254"/>
    <w:rsid w:val="00DE0BA4"/>
    <w:rsid w:val="00DE2955"/>
    <w:rsid w:val="00DE5F47"/>
    <w:rsid w:val="00DF13E8"/>
    <w:rsid w:val="00DF445E"/>
    <w:rsid w:val="00DF52F1"/>
    <w:rsid w:val="00E00F95"/>
    <w:rsid w:val="00E0485F"/>
    <w:rsid w:val="00E1085F"/>
    <w:rsid w:val="00E117A9"/>
    <w:rsid w:val="00E15646"/>
    <w:rsid w:val="00E17657"/>
    <w:rsid w:val="00E1775F"/>
    <w:rsid w:val="00E207E4"/>
    <w:rsid w:val="00E253E8"/>
    <w:rsid w:val="00E34BF6"/>
    <w:rsid w:val="00E352E0"/>
    <w:rsid w:val="00E416BD"/>
    <w:rsid w:val="00E43265"/>
    <w:rsid w:val="00E50058"/>
    <w:rsid w:val="00E505BB"/>
    <w:rsid w:val="00E524E0"/>
    <w:rsid w:val="00E63472"/>
    <w:rsid w:val="00E73A48"/>
    <w:rsid w:val="00E74366"/>
    <w:rsid w:val="00E76831"/>
    <w:rsid w:val="00E83FD1"/>
    <w:rsid w:val="00E87B59"/>
    <w:rsid w:val="00E927FB"/>
    <w:rsid w:val="00EA2641"/>
    <w:rsid w:val="00EA734C"/>
    <w:rsid w:val="00EB2452"/>
    <w:rsid w:val="00EB271D"/>
    <w:rsid w:val="00EB2CC3"/>
    <w:rsid w:val="00EB3A53"/>
    <w:rsid w:val="00EC12F4"/>
    <w:rsid w:val="00ED356E"/>
    <w:rsid w:val="00ED3B7D"/>
    <w:rsid w:val="00EE08F4"/>
    <w:rsid w:val="00EE1EAF"/>
    <w:rsid w:val="00EE5E12"/>
    <w:rsid w:val="00EE7C1A"/>
    <w:rsid w:val="00EF559D"/>
    <w:rsid w:val="00EF65E4"/>
    <w:rsid w:val="00F01E34"/>
    <w:rsid w:val="00F028ED"/>
    <w:rsid w:val="00F03E0E"/>
    <w:rsid w:val="00F1177D"/>
    <w:rsid w:val="00F139A9"/>
    <w:rsid w:val="00F17581"/>
    <w:rsid w:val="00F300CD"/>
    <w:rsid w:val="00F31F8F"/>
    <w:rsid w:val="00F3599A"/>
    <w:rsid w:val="00F414EB"/>
    <w:rsid w:val="00F4454B"/>
    <w:rsid w:val="00F44F12"/>
    <w:rsid w:val="00F47BEF"/>
    <w:rsid w:val="00F47FB9"/>
    <w:rsid w:val="00F511E1"/>
    <w:rsid w:val="00F52531"/>
    <w:rsid w:val="00F52A95"/>
    <w:rsid w:val="00F53EEC"/>
    <w:rsid w:val="00F54EF8"/>
    <w:rsid w:val="00F57ADF"/>
    <w:rsid w:val="00F66CB9"/>
    <w:rsid w:val="00F67859"/>
    <w:rsid w:val="00F74163"/>
    <w:rsid w:val="00F74866"/>
    <w:rsid w:val="00F81E8E"/>
    <w:rsid w:val="00F8600E"/>
    <w:rsid w:val="00F86CF4"/>
    <w:rsid w:val="00F8776E"/>
    <w:rsid w:val="00F87BB8"/>
    <w:rsid w:val="00F900D6"/>
    <w:rsid w:val="00F902B5"/>
    <w:rsid w:val="00F9771C"/>
    <w:rsid w:val="00FA29D6"/>
    <w:rsid w:val="00FA3A7E"/>
    <w:rsid w:val="00FB1546"/>
    <w:rsid w:val="00FB16C3"/>
    <w:rsid w:val="00FB19D7"/>
    <w:rsid w:val="00FB3850"/>
    <w:rsid w:val="00FB433F"/>
    <w:rsid w:val="00FB494A"/>
    <w:rsid w:val="00FB75A2"/>
    <w:rsid w:val="00FC0730"/>
    <w:rsid w:val="00FC2CA2"/>
    <w:rsid w:val="00FC7FFD"/>
    <w:rsid w:val="00FD1FE6"/>
    <w:rsid w:val="00FD229D"/>
    <w:rsid w:val="00FD26DF"/>
    <w:rsid w:val="00FD2F62"/>
    <w:rsid w:val="00FD35B5"/>
    <w:rsid w:val="00FD47B4"/>
    <w:rsid w:val="00FE126F"/>
    <w:rsid w:val="00FE3798"/>
    <w:rsid w:val="00FE6772"/>
    <w:rsid w:val="00FF60AC"/>
    <w:rsid w:val="00FF7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1F4ED5"/>
  <w14:defaultImageDpi w14:val="96"/>
  <w15:docId w15:val="{4967CFEF-2B52-418B-AED2-00DB2B1AF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FB1546"/>
    <w:rPr>
      <w:vertAlign w:val="superscript"/>
    </w:rPr>
  </w:style>
  <w:style w:type="paragraph" w:styleId="ListParagraph">
    <w:name w:val="List Paragraph"/>
    <w:basedOn w:val="Normal"/>
    <w:uiPriority w:val="34"/>
    <w:qFormat/>
    <w:rsid w:val="004758A0"/>
    <w:pPr>
      <w:ind w:left="720"/>
      <w:contextualSpacing/>
    </w:pPr>
  </w:style>
  <w:style w:type="paragraph" w:styleId="NoSpacing">
    <w:name w:val="No Spacing"/>
    <w:uiPriority w:val="1"/>
    <w:qFormat/>
    <w:rsid w:val="00FB16C3"/>
    <w:pPr>
      <w:spacing w:after="0" w:line="240" w:lineRule="auto"/>
      <w:ind w:firstLine="720"/>
      <w:contextualSpacing/>
    </w:pPr>
    <w:rPr>
      <w:rFonts w:eastAsiaTheme="minorHAnsi"/>
      <w:sz w:val="24"/>
    </w:rPr>
  </w:style>
  <w:style w:type="character" w:styleId="Hyperlink">
    <w:name w:val="Hyperlink"/>
    <w:basedOn w:val="DefaultParagraphFont"/>
    <w:uiPriority w:val="99"/>
    <w:unhideWhenUsed/>
    <w:rsid w:val="00FB16C3"/>
    <w:rPr>
      <w:color w:val="0563C1" w:themeColor="hyperlink"/>
      <w:u w:val="single"/>
    </w:rPr>
  </w:style>
  <w:style w:type="character" w:customStyle="1" w:styleId="UnresolvedMention1">
    <w:name w:val="Unresolved Mention1"/>
    <w:basedOn w:val="DefaultParagraphFont"/>
    <w:uiPriority w:val="99"/>
    <w:semiHidden/>
    <w:unhideWhenUsed/>
    <w:rsid w:val="00FB16C3"/>
    <w:rPr>
      <w:color w:val="605E5C"/>
      <w:shd w:val="clear" w:color="auto" w:fill="E1DFDD"/>
    </w:rPr>
  </w:style>
  <w:style w:type="paragraph" w:styleId="FootnoteText">
    <w:name w:val="footnote text"/>
    <w:basedOn w:val="Normal"/>
    <w:link w:val="FootnoteTextChar"/>
    <w:uiPriority w:val="99"/>
    <w:unhideWhenUsed/>
    <w:qFormat/>
    <w:rsid w:val="00FB16C3"/>
    <w:rPr>
      <w:sz w:val="20"/>
      <w:szCs w:val="20"/>
    </w:rPr>
  </w:style>
  <w:style w:type="character" w:customStyle="1" w:styleId="FootnoteTextChar">
    <w:name w:val="Footnote Text Char"/>
    <w:basedOn w:val="DefaultParagraphFont"/>
    <w:link w:val="FootnoteText"/>
    <w:uiPriority w:val="99"/>
    <w:rsid w:val="00FB16C3"/>
    <w:rPr>
      <w:rFonts w:ascii="Times New Roman" w:hAnsi="Times New Roman" w:cs="Times New Roman"/>
      <w:sz w:val="20"/>
      <w:szCs w:val="20"/>
    </w:rPr>
  </w:style>
  <w:style w:type="paragraph" w:styleId="NormalWeb">
    <w:name w:val="Normal (Web)"/>
    <w:basedOn w:val="Normal"/>
    <w:uiPriority w:val="99"/>
    <w:semiHidden/>
    <w:unhideWhenUsed/>
    <w:rsid w:val="00DD035B"/>
  </w:style>
  <w:style w:type="paragraph" w:styleId="BalloonText">
    <w:name w:val="Balloon Text"/>
    <w:basedOn w:val="Normal"/>
    <w:link w:val="BalloonTextChar"/>
    <w:uiPriority w:val="99"/>
    <w:semiHidden/>
    <w:unhideWhenUsed/>
    <w:rsid w:val="00F30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0CD"/>
    <w:rPr>
      <w:rFonts w:ascii="Segoe UI" w:hAnsi="Segoe UI" w:cs="Segoe UI"/>
      <w:sz w:val="18"/>
      <w:szCs w:val="18"/>
    </w:rPr>
  </w:style>
  <w:style w:type="paragraph" w:styleId="Header">
    <w:name w:val="header"/>
    <w:basedOn w:val="Normal"/>
    <w:link w:val="HeaderChar"/>
    <w:uiPriority w:val="99"/>
    <w:unhideWhenUsed/>
    <w:rsid w:val="00F300CD"/>
    <w:pPr>
      <w:tabs>
        <w:tab w:val="center" w:pos="4680"/>
        <w:tab w:val="right" w:pos="9360"/>
      </w:tabs>
    </w:pPr>
  </w:style>
  <w:style w:type="character" w:customStyle="1" w:styleId="HeaderChar">
    <w:name w:val="Header Char"/>
    <w:basedOn w:val="DefaultParagraphFont"/>
    <w:link w:val="Header"/>
    <w:uiPriority w:val="99"/>
    <w:rsid w:val="00F300CD"/>
    <w:rPr>
      <w:rFonts w:ascii="Times New Roman" w:hAnsi="Times New Roman" w:cs="Times New Roman"/>
      <w:sz w:val="24"/>
      <w:szCs w:val="24"/>
    </w:rPr>
  </w:style>
  <w:style w:type="paragraph" w:styleId="Footer">
    <w:name w:val="footer"/>
    <w:basedOn w:val="Normal"/>
    <w:link w:val="FooterChar"/>
    <w:uiPriority w:val="99"/>
    <w:unhideWhenUsed/>
    <w:rsid w:val="00F300CD"/>
    <w:pPr>
      <w:tabs>
        <w:tab w:val="center" w:pos="4680"/>
        <w:tab w:val="right" w:pos="9360"/>
      </w:tabs>
    </w:pPr>
  </w:style>
  <w:style w:type="character" w:customStyle="1" w:styleId="FooterChar">
    <w:name w:val="Footer Char"/>
    <w:basedOn w:val="DefaultParagraphFont"/>
    <w:link w:val="Footer"/>
    <w:uiPriority w:val="99"/>
    <w:rsid w:val="00F300CD"/>
    <w:rPr>
      <w:rFonts w:ascii="Times New Roman" w:hAnsi="Times New Roman" w:cs="Times New Roman"/>
      <w:sz w:val="24"/>
      <w:szCs w:val="24"/>
    </w:rPr>
  </w:style>
  <w:style w:type="table" w:styleId="TableGrid">
    <w:name w:val="Table Grid"/>
    <w:basedOn w:val="TableNormal"/>
    <w:uiPriority w:val="39"/>
    <w:rsid w:val="00D56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Indent">
    <w:name w:val="No Indent"/>
    <w:basedOn w:val="Normal"/>
    <w:qFormat/>
    <w:rsid w:val="00F52531"/>
    <w:pPr>
      <w:widowControl/>
      <w:autoSpaceDE/>
      <w:autoSpaceDN/>
      <w:adjustRightInd/>
      <w:spacing w:line="480" w:lineRule="auto"/>
      <w:contextualSpacing/>
    </w:pPr>
    <w:rPr>
      <w:rFonts w:asciiTheme="minorHAnsi" w:eastAsiaTheme="minorHAnsi" w:hAnsiTheme="minorHAnsi" w:cstheme="minorBidi"/>
      <w:szCs w:val="22"/>
    </w:rPr>
  </w:style>
  <w:style w:type="paragraph" w:styleId="Quote">
    <w:name w:val="Quote"/>
    <w:basedOn w:val="Normal"/>
    <w:next w:val="Normal"/>
    <w:link w:val="QuoteChar"/>
    <w:uiPriority w:val="29"/>
    <w:qFormat/>
    <w:rsid w:val="00C17CFC"/>
    <w:pPr>
      <w:widowControl/>
      <w:autoSpaceDE/>
      <w:autoSpaceDN/>
      <w:adjustRightInd/>
      <w:spacing w:after="240"/>
      <w:ind w:left="720" w:right="720"/>
    </w:pPr>
    <w:rPr>
      <w:rFonts w:asciiTheme="minorHAnsi" w:eastAsiaTheme="minorHAnsi" w:hAnsiTheme="minorHAnsi" w:cstheme="minorBidi"/>
      <w:iCs/>
      <w:szCs w:val="22"/>
    </w:rPr>
  </w:style>
  <w:style w:type="character" w:customStyle="1" w:styleId="QuoteChar">
    <w:name w:val="Quote Char"/>
    <w:basedOn w:val="DefaultParagraphFont"/>
    <w:link w:val="Quote"/>
    <w:uiPriority w:val="29"/>
    <w:rsid w:val="00C17CFC"/>
    <w:rPr>
      <w:rFonts w:eastAsiaTheme="minorHAnsi"/>
      <w:iCs/>
      <w:sz w:val="24"/>
    </w:rPr>
  </w:style>
  <w:style w:type="character" w:styleId="Emphasis">
    <w:name w:val="Emphasis"/>
    <w:basedOn w:val="DefaultParagraphFont"/>
    <w:uiPriority w:val="20"/>
    <w:qFormat/>
    <w:rsid w:val="00C17CFC"/>
    <w:rPr>
      <w:i/>
      <w:iCs/>
    </w:rPr>
  </w:style>
  <w:style w:type="paragraph" w:customStyle="1" w:styleId="ReLine">
    <w:name w:val="Re Line"/>
    <w:basedOn w:val="Normal"/>
    <w:link w:val="ReLineChar"/>
    <w:rsid w:val="00C17CFC"/>
    <w:pPr>
      <w:widowControl/>
      <w:autoSpaceDE/>
      <w:autoSpaceDN/>
      <w:adjustRightInd/>
      <w:spacing w:after="120" w:line="480" w:lineRule="auto"/>
      <w:ind w:left="720" w:hanging="720"/>
    </w:pPr>
    <w:rPr>
      <w:rFonts w:asciiTheme="minorHAnsi" w:eastAsia="Times New Roman" w:hAnsiTheme="minorHAnsi"/>
      <w:i/>
      <w:iCs/>
      <w:sz w:val="28"/>
      <w:szCs w:val="28"/>
    </w:rPr>
  </w:style>
  <w:style w:type="character" w:customStyle="1" w:styleId="ReLineChar">
    <w:name w:val="Re Line Char"/>
    <w:basedOn w:val="DefaultParagraphFont"/>
    <w:link w:val="ReLine"/>
    <w:rsid w:val="00C17CFC"/>
    <w:rPr>
      <w:rFonts w:eastAsia="Times New Roman" w:cs="Times New Roman"/>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0893">
      <w:bodyDiv w:val="1"/>
      <w:marLeft w:val="0"/>
      <w:marRight w:val="0"/>
      <w:marTop w:val="0"/>
      <w:marBottom w:val="0"/>
      <w:divBdr>
        <w:top w:val="none" w:sz="0" w:space="0" w:color="auto"/>
        <w:left w:val="none" w:sz="0" w:space="0" w:color="auto"/>
        <w:bottom w:val="none" w:sz="0" w:space="0" w:color="auto"/>
        <w:right w:val="none" w:sz="0" w:space="0" w:color="auto"/>
      </w:divBdr>
    </w:div>
    <w:div w:id="413206832">
      <w:bodyDiv w:val="1"/>
      <w:marLeft w:val="0"/>
      <w:marRight w:val="0"/>
      <w:marTop w:val="0"/>
      <w:marBottom w:val="0"/>
      <w:divBdr>
        <w:top w:val="none" w:sz="0" w:space="0" w:color="auto"/>
        <w:left w:val="none" w:sz="0" w:space="0" w:color="auto"/>
        <w:bottom w:val="none" w:sz="0" w:space="0" w:color="auto"/>
        <w:right w:val="none" w:sz="0" w:space="0" w:color="auto"/>
      </w:divBdr>
      <w:divsChild>
        <w:div w:id="1054238478">
          <w:marLeft w:val="0"/>
          <w:marRight w:val="0"/>
          <w:marTop w:val="0"/>
          <w:marBottom w:val="0"/>
          <w:divBdr>
            <w:top w:val="none" w:sz="0" w:space="0" w:color="auto"/>
            <w:left w:val="none" w:sz="0" w:space="0" w:color="auto"/>
            <w:bottom w:val="none" w:sz="0" w:space="0" w:color="auto"/>
            <w:right w:val="none" w:sz="0" w:space="0" w:color="auto"/>
          </w:divBdr>
          <w:divsChild>
            <w:div w:id="1301107766">
              <w:marLeft w:val="0"/>
              <w:marRight w:val="0"/>
              <w:marTop w:val="0"/>
              <w:marBottom w:val="0"/>
              <w:divBdr>
                <w:top w:val="none" w:sz="0" w:space="0" w:color="auto"/>
                <w:left w:val="none" w:sz="0" w:space="0" w:color="auto"/>
                <w:bottom w:val="none" w:sz="0" w:space="0" w:color="auto"/>
                <w:right w:val="none" w:sz="0" w:space="0" w:color="auto"/>
              </w:divBdr>
              <w:divsChild>
                <w:div w:id="20028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32064">
      <w:bodyDiv w:val="1"/>
      <w:marLeft w:val="0"/>
      <w:marRight w:val="0"/>
      <w:marTop w:val="0"/>
      <w:marBottom w:val="0"/>
      <w:divBdr>
        <w:top w:val="none" w:sz="0" w:space="0" w:color="auto"/>
        <w:left w:val="none" w:sz="0" w:space="0" w:color="auto"/>
        <w:bottom w:val="none" w:sz="0" w:space="0" w:color="auto"/>
        <w:right w:val="none" w:sz="0" w:space="0" w:color="auto"/>
      </w:divBdr>
    </w:div>
    <w:div w:id="1497578267">
      <w:bodyDiv w:val="1"/>
      <w:marLeft w:val="0"/>
      <w:marRight w:val="0"/>
      <w:marTop w:val="0"/>
      <w:marBottom w:val="0"/>
      <w:divBdr>
        <w:top w:val="none" w:sz="0" w:space="0" w:color="auto"/>
        <w:left w:val="none" w:sz="0" w:space="0" w:color="auto"/>
        <w:bottom w:val="none" w:sz="0" w:space="0" w:color="auto"/>
        <w:right w:val="none" w:sz="0" w:space="0" w:color="auto"/>
      </w:divBdr>
      <w:divsChild>
        <w:div w:id="328489322">
          <w:marLeft w:val="0"/>
          <w:marRight w:val="0"/>
          <w:marTop w:val="0"/>
          <w:marBottom w:val="0"/>
          <w:divBdr>
            <w:top w:val="none" w:sz="0" w:space="0" w:color="auto"/>
            <w:left w:val="none" w:sz="0" w:space="0" w:color="auto"/>
            <w:bottom w:val="none" w:sz="0" w:space="0" w:color="auto"/>
            <w:right w:val="none" w:sz="0" w:space="0" w:color="auto"/>
          </w:divBdr>
          <w:divsChild>
            <w:div w:id="1317995501">
              <w:marLeft w:val="0"/>
              <w:marRight w:val="0"/>
              <w:marTop w:val="0"/>
              <w:marBottom w:val="0"/>
              <w:divBdr>
                <w:top w:val="none" w:sz="0" w:space="0" w:color="auto"/>
                <w:left w:val="none" w:sz="0" w:space="0" w:color="auto"/>
                <w:bottom w:val="none" w:sz="0" w:space="0" w:color="auto"/>
                <w:right w:val="none" w:sz="0" w:space="0" w:color="auto"/>
              </w:divBdr>
              <w:divsChild>
                <w:div w:id="138098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09366">
      <w:bodyDiv w:val="1"/>
      <w:marLeft w:val="0"/>
      <w:marRight w:val="0"/>
      <w:marTop w:val="0"/>
      <w:marBottom w:val="0"/>
      <w:divBdr>
        <w:top w:val="none" w:sz="0" w:space="0" w:color="auto"/>
        <w:left w:val="none" w:sz="0" w:space="0" w:color="auto"/>
        <w:bottom w:val="none" w:sz="0" w:space="0" w:color="auto"/>
        <w:right w:val="none" w:sz="0" w:space="0" w:color="auto"/>
      </w:divBdr>
      <w:divsChild>
        <w:div w:id="1584678789">
          <w:marLeft w:val="0"/>
          <w:marRight w:val="0"/>
          <w:marTop w:val="0"/>
          <w:marBottom w:val="0"/>
          <w:divBdr>
            <w:top w:val="none" w:sz="0" w:space="0" w:color="auto"/>
            <w:left w:val="none" w:sz="0" w:space="0" w:color="auto"/>
            <w:bottom w:val="none" w:sz="0" w:space="0" w:color="auto"/>
            <w:right w:val="none" w:sz="0" w:space="0" w:color="auto"/>
          </w:divBdr>
          <w:divsChild>
            <w:div w:id="47804353">
              <w:marLeft w:val="0"/>
              <w:marRight w:val="0"/>
              <w:marTop w:val="0"/>
              <w:marBottom w:val="0"/>
              <w:divBdr>
                <w:top w:val="none" w:sz="0" w:space="0" w:color="auto"/>
                <w:left w:val="none" w:sz="0" w:space="0" w:color="auto"/>
                <w:bottom w:val="none" w:sz="0" w:space="0" w:color="auto"/>
                <w:right w:val="none" w:sz="0" w:space="0" w:color="auto"/>
              </w:divBdr>
              <w:divsChild>
                <w:div w:id="202809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043749">
      <w:bodyDiv w:val="1"/>
      <w:marLeft w:val="0"/>
      <w:marRight w:val="0"/>
      <w:marTop w:val="0"/>
      <w:marBottom w:val="0"/>
      <w:divBdr>
        <w:top w:val="none" w:sz="0" w:space="0" w:color="auto"/>
        <w:left w:val="none" w:sz="0" w:space="0" w:color="auto"/>
        <w:bottom w:val="none" w:sz="0" w:space="0" w:color="auto"/>
        <w:right w:val="none" w:sz="0" w:space="0" w:color="auto"/>
      </w:divBdr>
      <w:divsChild>
        <w:div w:id="2072844072">
          <w:marLeft w:val="0"/>
          <w:marRight w:val="0"/>
          <w:marTop w:val="0"/>
          <w:marBottom w:val="0"/>
          <w:divBdr>
            <w:top w:val="none" w:sz="0" w:space="0" w:color="auto"/>
            <w:left w:val="none" w:sz="0" w:space="0" w:color="auto"/>
            <w:bottom w:val="none" w:sz="0" w:space="0" w:color="auto"/>
            <w:right w:val="none" w:sz="0" w:space="0" w:color="auto"/>
          </w:divBdr>
          <w:divsChild>
            <w:div w:id="130054589">
              <w:marLeft w:val="0"/>
              <w:marRight w:val="0"/>
              <w:marTop w:val="0"/>
              <w:marBottom w:val="0"/>
              <w:divBdr>
                <w:top w:val="none" w:sz="0" w:space="0" w:color="auto"/>
                <w:left w:val="none" w:sz="0" w:space="0" w:color="auto"/>
                <w:bottom w:val="none" w:sz="0" w:space="0" w:color="auto"/>
                <w:right w:val="none" w:sz="0" w:space="0" w:color="auto"/>
              </w:divBdr>
              <w:divsChild>
                <w:div w:id="6391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085824">
      <w:bodyDiv w:val="1"/>
      <w:marLeft w:val="0"/>
      <w:marRight w:val="0"/>
      <w:marTop w:val="0"/>
      <w:marBottom w:val="0"/>
      <w:divBdr>
        <w:top w:val="none" w:sz="0" w:space="0" w:color="auto"/>
        <w:left w:val="none" w:sz="0" w:space="0" w:color="auto"/>
        <w:bottom w:val="none" w:sz="0" w:space="0" w:color="auto"/>
        <w:right w:val="none" w:sz="0" w:space="0" w:color="auto"/>
      </w:divBdr>
      <w:divsChild>
        <w:div w:id="610430200">
          <w:marLeft w:val="0"/>
          <w:marRight w:val="0"/>
          <w:marTop w:val="0"/>
          <w:marBottom w:val="0"/>
          <w:divBdr>
            <w:top w:val="none" w:sz="0" w:space="0" w:color="auto"/>
            <w:left w:val="none" w:sz="0" w:space="0" w:color="auto"/>
            <w:bottom w:val="none" w:sz="0" w:space="0" w:color="auto"/>
            <w:right w:val="none" w:sz="0" w:space="0" w:color="auto"/>
          </w:divBdr>
        </w:div>
        <w:div w:id="835070621">
          <w:marLeft w:val="0"/>
          <w:marRight w:val="0"/>
          <w:marTop w:val="0"/>
          <w:marBottom w:val="0"/>
          <w:divBdr>
            <w:top w:val="none" w:sz="0" w:space="0" w:color="auto"/>
            <w:left w:val="none" w:sz="0" w:space="0" w:color="auto"/>
            <w:bottom w:val="none" w:sz="0" w:space="0" w:color="auto"/>
            <w:right w:val="none" w:sz="0" w:space="0" w:color="auto"/>
          </w:divBdr>
          <w:divsChild>
            <w:div w:id="430315896">
              <w:marLeft w:val="0"/>
              <w:marRight w:val="0"/>
              <w:marTop w:val="0"/>
              <w:marBottom w:val="0"/>
              <w:divBdr>
                <w:top w:val="none" w:sz="0" w:space="0" w:color="auto"/>
                <w:left w:val="none" w:sz="0" w:space="0" w:color="auto"/>
                <w:bottom w:val="none" w:sz="0" w:space="0" w:color="auto"/>
                <w:right w:val="none" w:sz="0" w:space="0" w:color="auto"/>
              </w:divBdr>
            </w:div>
          </w:divsChild>
        </w:div>
        <w:div w:id="1017343962">
          <w:marLeft w:val="0"/>
          <w:marRight w:val="0"/>
          <w:marTop w:val="0"/>
          <w:marBottom w:val="0"/>
          <w:divBdr>
            <w:top w:val="none" w:sz="0" w:space="0" w:color="auto"/>
            <w:left w:val="none" w:sz="0" w:space="0" w:color="auto"/>
            <w:bottom w:val="none" w:sz="0" w:space="0" w:color="auto"/>
            <w:right w:val="none" w:sz="0" w:space="0" w:color="auto"/>
          </w:divBdr>
          <w:divsChild>
            <w:div w:id="1764648605">
              <w:marLeft w:val="0"/>
              <w:marRight w:val="0"/>
              <w:marTop w:val="0"/>
              <w:marBottom w:val="0"/>
              <w:divBdr>
                <w:top w:val="none" w:sz="0" w:space="0" w:color="auto"/>
                <w:left w:val="none" w:sz="0" w:space="0" w:color="auto"/>
                <w:bottom w:val="none" w:sz="0" w:space="0" w:color="auto"/>
                <w:right w:val="none" w:sz="0" w:space="0" w:color="auto"/>
              </w:divBdr>
            </w:div>
          </w:divsChild>
        </w:div>
        <w:div w:id="1484086011">
          <w:marLeft w:val="0"/>
          <w:marRight w:val="0"/>
          <w:marTop w:val="0"/>
          <w:marBottom w:val="0"/>
          <w:divBdr>
            <w:top w:val="none" w:sz="0" w:space="0" w:color="auto"/>
            <w:left w:val="none" w:sz="0" w:space="0" w:color="auto"/>
            <w:bottom w:val="none" w:sz="0" w:space="0" w:color="auto"/>
            <w:right w:val="none" w:sz="0" w:space="0" w:color="auto"/>
          </w:divBdr>
          <w:divsChild>
            <w:div w:id="342325435">
              <w:marLeft w:val="0"/>
              <w:marRight w:val="0"/>
              <w:marTop w:val="0"/>
              <w:marBottom w:val="0"/>
              <w:divBdr>
                <w:top w:val="none" w:sz="0" w:space="0" w:color="auto"/>
                <w:left w:val="none" w:sz="0" w:space="0" w:color="auto"/>
                <w:bottom w:val="none" w:sz="0" w:space="0" w:color="auto"/>
                <w:right w:val="none" w:sz="0" w:space="0" w:color="auto"/>
              </w:divBdr>
            </w:div>
          </w:divsChild>
        </w:div>
        <w:div w:id="1808427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inick@fi-lawfir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ott@snw.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3D5F7-E4D3-48BD-B5C6-382301D8F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7229</Words>
  <Characters>38606</Characters>
  <Application>Microsoft Office Word</Application>
  <DocSecurity>0</DocSecurity>
  <Lines>756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F</dc:creator>
  <cp:keywords/>
  <dc:description/>
  <cp:lastModifiedBy>Betty Maury</cp:lastModifiedBy>
  <cp:revision>2</cp:revision>
  <cp:lastPrinted>2024-04-05T16:20:00Z</cp:lastPrinted>
  <dcterms:created xsi:type="dcterms:W3CDTF">2026-02-22T19:28:00Z</dcterms:created>
  <dcterms:modified xsi:type="dcterms:W3CDTF">2026-02-22T19:28:00Z</dcterms:modified>
</cp:coreProperties>
</file>